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467C0908" w:rsidR="00A32BCB" w:rsidRDefault="00DC64D1">
      <w:pPr>
        <w:widowControl w:val="0"/>
      </w:pPr>
      <w:r>
        <w:t>Sommer</w:t>
      </w:r>
      <w:r w:rsidR="0071051E">
        <w:t xml:space="preserve"> 2022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7F2F7642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80189A">
        <w:rPr>
          <w:b/>
        </w:rPr>
        <w:t>René Roussillons</w:t>
      </w:r>
      <w:r w:rsidR="0071051E">
        <w:rPr>
          <w:b/>
        </w:rPr>
        <w:t xml:space="preserve"> Artikel</w:t>
      </w:r>
      <w:r w:rsidR="005C221E">
        <w:rPr>
          <w:b/>
        </w:rPr>
        <w:t xml:space="preserve"> „</w:t>
      </w:r>
      <w:r w:rsidR="0080189A">
        <w:rPr>
          <w:b/>
        </w:rPr>
        <w:t>Primäres Trauma, Spaltung und primäre, nicht symbolische Bindung</w:t>
      </w:r>
      <w:r w:rsidR="005C221E">
        <w:rPr>
          <w:b/>
        </w:rPr>
        <w:t>“ (</w:t>
      </w:r>
      <w:r w:rsidR="0080189A">
        <w:rPr>
          <w:b/>
        </w:rPr>
        <w:t>ZpTP 2021, 2</w:t>
      </w:r>
      <w:r w:rsidR="005C221E">
        <w:rPr>
          <w:b/>
        </w:rPr>
        <w:t>)</w:t>
      </w:r>
      <w:r w:rsidR="00DC64D1">
        <w:rPr>
          <w:b/>
        </w:rPr>
        <w:t>. Teil 2</w:t>
      </w:r>
    </w:p>
    <w:p w14:paraId="574B12E9" w14:textId="77777777" w:rsidR="00EA307D" w:rsidRDefault="00EA307D">
      <w:pPr>
        <w:rPr>
          <w:b/>
        </w:rPr>
      </w:pPr>
    </w:p>
    <w:p w14:paraId="0E689245" w14:textId="77777777" w:rsidR="00897C45" w:rsidRDefault="003942C2" w:rsidP="00897C45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</w:t>
      </w:r>
    </w:p>
    <w:p w14:paraId="4F0C33BD" w14:textId="77777777" w:rsidR="00897C45" w:rsidRDefault="00897C45" w:rsidP="00897C45"/>
    <w:p w14:paraId="45B1797B" w14:textId="77777777" w:rsidR="00483BD6" w:rsidRPr="00483BD6" w:rsidRDefault="00483BD6" w:rsidP="00483BD6">
      <w:pPr>
        <w:rPr>
          <w:b/>
          <w:lang w:val="de-CH"/>
        </w:rPr>
      </w:pPr>
    </w:p>
    <w:p w14:paraId="4E300E03" w14:textId="77777777" w:rsidR="00DC64D1" w:rsidRDefault="00DC64D1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Dass „man sich von den Spuren der primären traumatischen Erfahrung abspaltet“, ist leicht gesagt. (S.200) Aber was bedeutet die Aussage eigentlich – topisch, dynamisch und ökonomisch? Was ist der Unterschied zwischen der Spaltung und der Verdrängung? </w:t>
      </w:r>
    </w:p>
    <w:p w14:paraId="21C91760" w14:textId="1BE2075F" w:rsidR="00DC64D1" w:rsidRDefault="00DC64D1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Was bedeutet denn: „Im Sinne der Spaltung unbewusste Subjektivität, welche Spuren davon konserviert“? </w:t>
      </w:r>
      <w:r w:rsidR="00DC3E3B">
        <w:rPr>
          <w:lang w:val="de-CH"/>
        </w:rPr>
        <w:t xml:space="preserve">(S.200) </w:t>
      </w:r>
      <w:r>
        <w:rPr>
          <w:lang w:val="de-CH"/>
        </w:rPr>
        <w:t>Versuchen Sie, in anderen Worten diesen Vorgang zu beschreiben. Noch einmal: Was ist der Unterschied zur Verdrängung? Wie zeigt sich das klinisch? [Spaltung oder Verdrängung implizieren in der psychoanalytischen Nosologie eine ganz verschiedenartige Betrachtungsweise, nämlich nicht-neurotischer oder neurotischer Fall.]</w:t>
      </w:r>
    </w:p>
    <w:p w14:paraId="31AD5A69" w14:textId="52BC7D30" w:rsidR="00DC64D1" w:rsidRDefault="00DC64D1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Was bedeutet es genau zu sagen, dass die traumatischen Spuren im „jenseits des Lust-Unlust-Prinzips“ anzusiedeln seien (S.201)? </w:t>
      </w:r>
    </w:p>
    <w:p w14:paraId="7873F162" w14:textId="77777777" w:rsidR="00CC0142" w:rsidRDefault="00DC64D1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Woran liegt es eigentlich, dass die </w:t>
      </w:r>
      <w:r w:rsidRPr="00DC64D1">
        <w:rPr>
          <w:i/>
          <w:lang w:val="de-CH"/>
        </w:rPr>
        <w:t>Wahrnehmungsspuren</w:t>
      </w:r>
      <w:r>
        <w:rPr>
          <w:lang w:val="de-CH"/>
        </w:rPr>
        <w:t xml:space="preserve"> dem Wiederholungszwang unterworfen seien (S.201)? Gilt das nicht auch für gewöhnliche neurotische Symptome? </w:t>
      </w:r>
    </w:p>
    <w:p w14:paraId="14853825" w14:textId="664C6FD8" w:rsidR="00C927C9" w:rsidRDefault="00CC0142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Wodurch unterscheidet </w:t>
      </w:r>
      <w:r w:rsidR="00EA03AB">
        <w:rPr>
          <w:lang w:val="de-CH"/>
        </w:rPr>
        <w:t xml:space="preserve">sich </w:t>
      </w:r>
      <w:r>
        <w:rPr>
          <w:lang w:val="de-CH"/>
        </w:rPr>
        <w:t xml:space="preserve">die </w:t>
      </w:r>
      <w:r w:rsidRPr="00CC0142">
        <w:rPr>
          <w:i/>
          <w:lang w:val="de-CH"/>
        </w:rPr>
        <w:t>Wiederkehr des Abgespaltenen</w:t>
      </w:r>
      <w:r>
        <w:rPr>
          <w:lang w:val="de-CH"/>
        </w:rPr>
        <w:t xml:space="preserve"> [CMdL: also des nicht Verdrängten] von der </w:t>
      </w:r>
      <w:r w:rsidRPr="00CC0142">
        <w:rPr>
          <w:i/>
          <w:lang w:val="de-CH"/>
        </w:rPr>
        <w:t>Wiederkehr des Verdrängten</w:t>
      </w:r>
      <w:r>
        <w:rPr>
          <w:lang w:val="de-CH"/>
        </w:rPr>
        <w:t xml:space="preserve"> (S.201)? </w:t>
      </w:r>
    </w:p>
    <w:p w14:paraId="57B890E2" w14:textId="77777777" w:rsidR="00C927C9" w:rsidRDefault="00C927C9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Wie kann ein Abgespaltenes, das </w:t>
      </w:r>
      <w:r w:rsidRPr="00C927C9">
        <w:rPr>
          <w:i/>
          <w:lang w:val="de-CH"/>
        </w:rPr>
        <w:t>nicht repräsentiert</w:t>
      </w:r>
      <w:r>
        <w:rPr>
          <w:lang w:val="de-CH"/>
        </w:rPr>
        <w:t xml:space="preserve"> ist [CMdL: also nicht in der Vorstellung beheimatet ist], denn in </w:t>
      </w:r>
      <w:r w:rsidRPr="00C927C9">
        <w:rPr>
          <w:i/>
          <w:lang w:val="de-CH"/>
        </w:rPr>
        <w:t xml:space="preserve">nicht repräsentierter Form </w:t>
      </w:r>
      <w:r>
        <w:rPr>
          <w:lang w:val="de-CH"/>
        </w:rPr>
        <w:t>wiederkehren? (S.201)</w:t>
      </w:r>
    </w:p>
    <w:p w14:paraId="1634BA54" w14:textId="77777777" w:rsidR="00C927C9" w:rsidRDefault="00C927C9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t>Das Abgespaltene drohe im „Agieren“ wiederzukehren. Worin besteht der Unterschied zwischen Agieren und Inszenieren? (S.201)</w:t>
      </w:r>
    </w:p>
    <w:p w14:paraId="3E7501EC" w14:textId="77777777" w:rsidR="00C927C9" w:rsidRDefault="00C927C9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t>Um die Wiederkehr des Abgespaltenen zu verhindern, setze der psychische Apparat so genannte narzisstische Abwehren ein. Wie sehen klinisch solche Abwehren aus? Suchen Sie nach konkreten Beispielen aus Ihrer eigenen Erfahrung.</w:t>
      </w:r>
    </w:p>
    <w:p w14:paraId="159AE869" w14:textId="5B83C766" w:rsidR="00C927C9" w:rsidRDefault="00C927C9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Sehen Sie einen Bezug zwischen dem „entfremdenden“ narzisstischen Vertrag und dem falschen Selbst, sowie der heute gerne in den Medien abgehandelten </w:t>
      </w:r>
      <w:r w:rsidR="00EA03AB">
        <w:rPr>
          <w:lang w:val="de-CH"/>
        </w:rPr>
        <w:t>„</w:t>
      </w:r>
      <w:r>
        <w:rPr>
          <w:lang w:val="de-CH"/>
        </w:rPr>
        <w:t>toxischen Beziehung</w:t>
      </w:r>
      <w:r w:rsidR="00EA03AB">
        <w:rPr>
          <w:lang w:val="de-CH"/>
        </w:rPr>
        <w:t>“</w:t>
      </w:r>
      <w:r>
        <w:rPr>
          <w:lang w:val="de-CH"/>
        </w:rPr>
        <w:t>? (S.201)</w:t>
      </w:r>
    </w:p>
    <w:p w14:paraId="159AE869" w14:textId="5B83C766" w:rsidR="00C927C9" w:rsidRDefault="00C927C9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bookmarkStart w:id="0" w:name="_GoBack"/>
      <w:bookmarkEnd w:id="0"/>
      <w:r>
        <w:rPr>
          <w:lang w:val="de-CH"/>
        </w:rPr>
        <w:t>„Die namenlosen Ängste des agonistischen Zustandes“: welche Konzepte finden Sie in diesem Satz wieder und was bedeuten diese Ausdrücke? (S.201) Umschreibung in eigenen Worten.</w:t>
      </w:r>
    </w:p>
    <w:p w14:paraId="298DAF56" w14:textId="77777777" w:rsidR="00C927C9" w:rsidRDefault="00C927C9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t>Was ist die Pointe der „Venus im Pelz“ von Sacher-Masoch? (S.201)</w:t>
      </w:r>
    </w:p>
    <w:p w14:paraId="64859813" w14:textId="77777777" w:rsidR="00C927C9" w:rsidRDefault="00C927C9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Was bedeutet „eine gewisse Symbolisierung“ … „im Bereich, der an die traumatische Zone angrenzt“? (S.201) Wie zeigt sich so eine psychische Konstellation in der psychoanalytischen Psychotherapie, also klinisch? </w:t>
      </w:r>
    </w:p>
    <w:p w14:paraId="69D5316C" w14:textId="77777777" w:rsidR="00B54FC2" w:rsidRDefault="00C927C9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lastRenderedPageBreak/>
        <w:t xml:space="preserve">Wie könnte klinisch eine „sekundäre“ nachträgliche Symbolisierung einer primären Agonie denn aussehen? Oder, was dasselbe ist: eine </w:t>
      </w:r>
      <w:r w:rsidR="00B54FC2">
        <w:rPr>
          <w:lang w:val="de-CH"/>
        </w:rPr>
        <w:t>„</w:t>
      </w:r>
      <w:r>
        <w:rPr>
          <w:lang w:val="de-CH"/>
        </w:rPr>
        <w:t xml:space="preserve">sekundäre </w:t>
      </w:r>
      <w:r w:rsidR="00B54FC2">
        <w:rPr>
          <w:lang w:val="de-CH"/>
        </w:rPr>
        <w:t>Symbolisierung einer primären traumatischen Erfahrung“? (S.201)</w:t>
      </w:r>
    </w:p>
    <w:p w14:paraId="2DD532B5" w14:textId="77777777" w:rsidR="00DF4FC6" w:rsidRDefault="00B54FC2" w:rsidP="00DC64D1">
      <w:pPr>
        <w:pStyle w:val="Listenabsatz"/>
        <w:numPr>
          <w:ilvl w:val="0"/>
          <w:numId w:val="10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Wie unterscheidet sich ein „Widerstand gegen die psychoanalytische Arbeit“ (S.201) von den ganz gewöhnlichen Widerständen in der Ich-psychologisch geprägten deutschsprachigen Psychoanalyse? </w:t>
      </w:r>
    </w:p>
    <w:p w14:paraId="07644ACC" w14:textId="77777777" w:rsidR="00DF4FC6" w:rsidRDefault="00DF4FC6" w:rsidP="00DF4FC6">
      <w:pPr>
        <w:spacing w:after="120"/>
        <w:rPr>
          <w:lang w:val="de-CH"/>
        </w:rPr>
      </w:pPr>
    </w:p>
    <w:p w14:paraId="1A58BE15" w14:textId="2D962E68" w:rsidR="0071051E" w:rsidRPr="00DF4FC6" w:rsidRDefault="00DF4FC6" w:rsidP="00DF4FC6">
      <w:pPr>
        <w:spacing w:after="120"/>
        <w:rPr>
          <w:lang w:val="de-CH"/>
        </w:rPr>
      </w:pPr>
      <w:r>
        <w:rPr>
          <w:lang w:val="de-CH"/>
        </w:rPr>
        <w:t>21. August 2022</w:t>
      </w:r>
      <w:r w:rsidR="00B54FC2" w:rsidRPr="00DF4FC6">
        <w:rPr>
          <w:lang w:val="de-CH"/>
        </w:rPr>
        <w:t xml:space="preserve"> </w:t>
      </w:r>
      <w:r w:rsidR="0071051E" w:rsidRPr="00DF4FC6">
        <w:rPr>
          <w:lang w:val="de-CH"/>
        </w:rPr>
        <w:br/>
      </w:r>
      <w:r w:rsidR="0071051E" w:rsidRPr="00DF4FC6">
        <w:rPr>
          <w:lang w:val="de-CH"/>
        </w:rPr>
        <w:br/>
      </w:r>
      <w:r w:rsidR="0071051E" w:rsidRPr="00DF4FC6">
        <w:rPr>
          <w:lang w:val="de-CH"/>
        </w:rPr>
        <w:br/>
      </w:r>
      <w:r w:rsidR="0071051E" w:rsidRPr="00DF4FC6">
        <w:rPr>
          <w:lang w:val="de-CH"/>
        </w:rPr>
        <w:br/>
      </w:r>
    </w:p>
    <w:p w14:paraId="16B552BE" w14:textId="77777777" w:rsidR="00AA3384" w:rsidRDefault="00AA3384" w:rsidP="001B3392">
      <w:pPr>
        <w:rPr>
          <w:lang w:val="de-CH"/>
        </w:rPr>
      </w:pPr>
    </w:p>
    <w:p w14:paraId="08FFFB59" w14:textId="15AB2B11" w:rsidR="00193085" w:rsidRPr="001B3392" w:rsidRDefault="00121689" w:rsidP="001B3392">
      <w:pPr>
        <w:rPr>
          <w:lang w:val="de-CH"/>
        </w:rPr>
      </w:pPr>
      <w:r w:rsidRPr="001B3392">
        <w:rPr>
          <w:lang w:val="de-CH"/>
        </w:rPr>
        <w:br/>
      </w:r>
    </w:p>
    <w:sectPr w:rsidR="00193085" w:rsidRPr="001B3392" w:rsidSect="00562227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7218" w14:textId="77777777" w:rsidR="009E49AA" w:rsidRDefault="009E49AA" w:rsidP="001C17E0">
      <w:r>
        <w:separator/>
      </w:r>
    </w:p>
  </w:endnote>
  <w:endnote w:type="continuationSeparator" w:id="0">
    <w:p w14:paraId="1C1AF6B0" w14:textId="77777777" w:rsidR="009E49AA" w:rsidRDefault="009E49AA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60EA">
      <w:rPr>
        <w:rStyle w:val="Seitenzahl"/>
      </w:rPr>
      <w:t>1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EC5DD" w14:textId="77777777" w:rsidR="009E49AA" w:rsidRDefault="009E49AA" w:rsidP="001C17E0">
      <w:r>
        <w:separator/>
      </w:r>
    </w:p>
  </w:footnote>
  <w:footnote w:type="continuationSeparator" w:id="0">
    <w:p w14:paraId="48439B42" w14:textId="77777777" w:rsidR="009E49AA" w:rsidRDefault="009E49AA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29347B"/>
    <w:multiLevelType w:val="hybridMultilevel"/>
    <w:tmpl w:val="6ECCDFEE"/>
    <w:lvl w:ilvl="0" w:tplc="58E83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171AA0"/>
    <w:multiLevelType w:val="hybridMultilevel"/>
    <w:tmpl w:val="4350D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732155"/>
    <w:multiLevelType w:val="hybridMultilevel"/>
    <w:tmpl w:val="8A70816E"/>
    <w:lvl w:ilvl="0" w:tplc="F2E2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984001"/>
    <w:multiLevelType w:val="hybridMultilevel"/>
    <w:tmpl w:val="3DAA2178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C6702A"/>
    <w:multiLevelType w:val="hybridMultilevel"/>
    <w:tmpl w:val="DB4A51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040FF"/>
    <w:multiLevelType w:val="hybridMultilevel"/>
    <w:tmpl w:val="E182F6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0515B"/>
    <w:rsid w:val="00005350"/>
    <w:rsid w:val="00005FC5"/>
    <w:rsid w:val="00036D72"/>
    <w:rsid w:val="00041AAC"/>
    <w:rsid w:val="00045CA8"/>
    <w:rsid w:val="00050865"/>
    <w:rsid w:val="00053E9F"/>
    <w:rsid w:val="0006011A"/>
    <w:rsid w:val="00063ABB"/>
    <w:rsid w:val="00072B00"/>
    <w:rsid w:val="000774A6"/>
    <w:rsid w:val="0009500B"/>
    <w:rsid w:val="00097BCE"/>
    <w:rsid w:val="000A2932"/>
    <w:rsid w:val="000A7339"/>
    <w:rsid w:val="000A7D53"/>
    <w:rsid w:val="000B4E93"/>
    <w:rsid w:val="000C6089"/>
    <w:rsid w:val="000C6C03"/>
    <w:rsid w:val="000C7B11"/>
    <w:rsid w:val="000E4F13"/>
    <w:rsid w:val="000E5E05"/>
    <w:rsid w:val="000F580C"/>
    <w:rsid w:val="0010790F"/>
    <w:rsid w:val="00107C05"/>
    <w:rsid w:val="00112F0C"/>
    <w:rsid w:val="00121689"/>
    <w:rsid w:val="00131DDD"/>
    <w:rsid w:val="00136829"/>
    <w:rsid w:val="001437D0"/>
    <w:rsid w:val="00143D58"/>
    <w:rsid w:val="001445C6"/>
    <w:rsid w:val="00145232"/>
    <w:rsid w:val="00147251"/>
    <w:rsid w:val="00152FBB"/>
    <w:rsid w:val="0015406F"/>
    <w:rsid w:val="00161373"/>
    <w:rsid w:val="001645A6"/>
    <w:rsid w:val="001819FC"/>
    <w:rsid w:val="00181BA5"/>
    <w:rsid w:val="00186BD4"/>
    <w:rsid w:val="001924E0"/>
    <w:rsid w:val="00193085"/>
    <w:rsid w:val="001A6B5D"/>
    <w:rsid w:val="001B3392"/>
    <w:rsid w:val="001B4B07"/>
    <w:rsid w:val="001C17E0"/>
    <w:rsid w:val="001C2358"/>
    <w:rsid w:val="001C7914"/>
    <w:rsid w:val="001D01F8"/>
    <w:rsid w:val="001D134E"/>
    <w:rsid w:val="001D65B9"/>
    <w:rsid w:val="00203B8F"/>
    <w:rsid w:val="00213399"/>
    <w:rsid w:val="0021734A"/>
    <w:rsid w:val="0022140A"/>
    <w:rsid w:val="00226685"/>
    <w:rsid w:val="00231FB8"/>
    <w:rsid w:val="00235133"/>
    <w:rsid w:val="00236B16"/>
    <w:rsid w:val="00237076"/>
    <w:rsid w:val="002454EC"/>
    <w:rsid w:val="00252334"/>
    <w:rsid w:val="002525C5"/>
    <w:rsid w:val="00254CF5"/>
    <w:rsid w:val="0026063B"/>
    <w:rsid w:val="00266B82"/>
    <w:rsid w:val="002704A1"/>
    <w:rsid w:val="002710AD"/>
    <w:rsid w:val="00274E4A"/>
    <w:rsid w:val="00282D41"/>
    <w:rsid w:val="00295995"/>
    <w:rsid w:val="00296E4F"/>
    <w:rsid w:val="00297599"/>
    <w:rsid w:val="002A2676"/>
    <w:rsid w:val="002A39DF"/>
    <w:rsid w:val="002B56A6"/>
    <w:rsid w:val="002C1928"/>
    <w:rsid w:val="002C4884"/>
    <w:rsid w:val="002D7515"/>
    <w:rsid w:val="002E65BE"/>
    <w:rsid w:val="002F24F8"/>
    <w:rsid w:val="002F2EB4"/>
    <w:rsid w:val="00300911"/>
    <w:rsid w:val="00303096"/>
    <w:rsid w:val="00321F10"/>
    <w:rsid w:val="00322E85"/>
    <w:rsid w:val="00323B25"/>
    <w:rsid w:val="003257A5"/>
    <w:rsid w:val="00334D03"/>
    <w:rsid w:val="00336857"/>
    <w:rsid w:val="00341DAE"/>
    <w:rsid w:val="0034684B"/>
    <w:rsid w:val="00350858"/>
    <w:rsid w:val="00356BD4"/>
    <w:rsid w:val="00362E95"/>
    <w:rsid w:val="00366CF8"/>
    <w:rsid w:val="0037144C"/>
    <w:rsid w:val="00384E19"/>
    <w:rsid w:val="00386E18"/>
    <w:rsid w:val="00393130"/>
    <w:rsid w:val="003942C2"/>
    <w:rsid w:val="003A0019"/>
    <w:rsid w:val="003A01A1"/>
    <w:rsid w:val="003B519C"/>
    <w:rsid w:val="003B727C"/>
    <w:rsid w:val="003C3775"/>
    <w:rsid w:val="003D221B"/>
    <w:rsid w:val="003D3D11"/>
    <w:rsid w:val="003D4CD2"/>
    <w:rsid w:val="003E4E24"/>
    <w:rsid w:val="003E7EFD"/>
    <w:rsid w:val="003F2F52"/>
    <w:rsid w:val="003F7D9F"/>
    <w:rsid w:val="004000A1"/>
    <w:rsid w:val="00403162"/>
    <w:rsid w:val="00406364"/>
    <w:rsid w:val="00410138"/>
    <w:rsid w:val="00413365"/>
    <w:rsid w:val="004208B2"/>
    <w:rsid w:val="004321CA"/>
    <w:rsid w:val="00437E8F"/>
    <w:rsid w:val="004435B2"/>
    <w:rsid w:val="0044611C"/>
    <w:rsid w:val="00452E54"/>
    <w:rsid w:val="00464E33"/>
    <w:rsid w:val="00467F71"/>
    <w:rsid w:val="00473592"/>
    <w:rsid w:val="00480081"/>
    <w:rsid w:val="004814EF"/>
    <w:rsid w:val="00483BD6"/>
    <w:rsid w:val="00485156"/>
    <w:rsid w:val="00486138"/>
    <w:rsid w:val="00486DE4"/>
    <w:rsid w:val="004907B7"/>
    <w:rsid w:val="00490BBC"/>
    <w:rsid w:val="00492DB8"/>
    <w:rsid w:val="004932F5"/>
    <w:rsid w:val="004A1832"/>
    <w:rsid w:val="004A2151"/>
    <w:rsid w:val="004B265E"/>
    <w:rsid w:val="004B5872"/>
    <w:rsid w:val="004C1BED"/>
    <w:rsid w:val="004D59DE"/>
    <w:rsid w:val="004F7F9A"/>
    <w:rsid w:val="0050466E"/>
    <w:rsid w:val="00504EF9"/>
    <w:rsid w:val="0050532A"/>
    <w:rsid w:val="005060B7"/>
    <w:rsid w:val="005145A4"/>
    <w:rsid w:val="005201AE"/>
    <w:rsid w:val="005205E4"/>
    <w:rsid w:val="00520BBB"/>
    <w:rsid w:val="00523771"/>
    <w:rsid w:val="005262A7"/>
    <w:rsid w:val="005366C7"/>
    <w:rsid w:val="00540BAD"/>
    <w:rsid w:val="00547BB5"/>
    <w:rsid w:val="0055188A"/>
    <w:rsid w:val="00553ACB"/>
    <w:rsid w:val="005547AC"/>
    <w:rsid w:val="0055528F"/>
    <w:rsid w:val="00562227"/>
    <w:rsid w:val="0056656D"/>
    <w:rsid w:val="00566ED9"/>
    <w:rsid w:val="0057164D"/>
    <w:rsid w:val="00574B98"/>
    <w:rsid w:val="00577B06"/>
    <w:rsid w:val="00591D2C"/>
    <w:rsid w:val="005942D6"/>
    <w:rsid w:val="005A02ED"/>
    <w:rsid w:val="005A7417"/>
    <w:rsid w:val="005B2C2F"/>
    <w:rsid w:val="005B32E1"/>
    <w:rsid w:val="005C221E"/>
    <w:rsid w:val="005D104B"/>
    <w:rsid w:val="005E1F02"/>
    <w:rsid w:val="005E292C"/>
    <w:rsid w:val="005E74AD"/>
    <w:rsid w:val="005F0613"/>
    <w:rsid w:val="006001BF"/>
    <w:rsid w:val="00600DF1"/>
    <w:rsid w:val="00601EA4"/>
    <w:rsid w:val="00603C45"/>
    <w:rsid w:val="00603CAE"/>
    <w:rsid w:val="006108B7"/>
    <w:rsid w:val="00615B12"/>
    <w:rsid w:val="00615D90"/>
    <w:rsid w:val="00617F35"/>
    <w:rsid w:val="0062072D"/>
    <w:rsid w:val="006211DE"/>
    <w:rsid w:val="00623F18"/>
    <w:rsid w:val="00631602"/>
    <w:rsid w:val="00641EF6"/>
    <w:rsid w:val="00644D92"/>
    <w:rsid w:val="00653176"/>
    <w:rsid w:val="00656661"/>
    <w:rsid w:val="00662CFF"/>
    <w:rsid w:val="006658F1"/>
    <w:rsid w:val="00681F0D"/>
    <w:rsid w:val="00682481"/>
    <w:rsid w:val="00682FD8"/>
    <w:rsid w:val="00685F98"/>
    <w:rsid w:val="006B12C7"/>
    <w:rsid w:val="006B6795"/>
    <w:rsid w:val="006D2710"/>
    <w:rsid w:val="006D3CE5"/>
    <w:rsid w:val="006D430F"/>
    <w:rsid w:val="006D6A24"/>
    <w:rsid w:val="006E1AD9"/>
    <w:rsid w:val="006E4DAF"/>
    <w:rsid w:val="006F3BF7"/>
    <w:rsid w:val="006F64D4"/>
    <w:rsid w:val="0071051E"/>
    <w:rsid w:val="00711AAA"/>
    <w:rsid w:val="0072098D"/>
    <w:rsid w:val="00722131"/>
    <w:rsid w:val="00722BA3"/>
    <w:rsid w:val="0072474D"/>
    <w:rsid w:val="00727B19"/>
    <w:rsid w:val="007304A4"/>
    <w:rsid w:val="00733EA0"/>
    <w:rsid w:val="00736D06"/>
    <w:rsid w:val="0074103E"/>
    <w:rsid w:val="007443D5"/>
    <w:rsid w:val="007463A6"/>
    <w:rsid w:val="00754284"/>
    <w:rsid w:val="00765EB4"/>
    <w:rsid w:val="0077040D"/>
    <w:rsid w:val="00772D14"/>
    <w:rsid w:val="00773856"/>
    <w:rsid w:val="00774DDE"/>
    <w:rsid w:val="007813A9"/>
    <w:rsid w:val="0079791D"/>
    <w:rsid w:val="007A0B0C"/>
    <w:rsid w:val="007B25D5"/>
    <w:rsid w:val="007B4116"/>
    <w:rsid w:val="007C2373"/>
    <w:rsid w:val="007D5328"/>
    <w:rsid w:val="007D7955"/>
    <w:rsid w:val="007E52C6"/>
    <w:rsid w:val="007E671E"/>
    <w:rsid w:val="007F7F88"/>
    <w:rsid w:val="0080008C"/>
    <w:rsid w:val="0080189A"/>
    <w:rsid w:val="00804DA0"/>
    <w:rsid w:val="008063A3"/>
    <w:rsid w:val="00814C4D"/>
    <w:rsid w:val="00825087"/>
    <w:rsid w:val="00833CD4"/>
    <w:rsid w:val="00834900"/>
    <w:rsid w:val="008404FC"/>
    <w:rsid w:val="00843B12"/>
    <w:rsid w:val="008508C5"/>
    <w:rsid w:val="00853031"/>
    <w:rsid w:val="008573CE"/>
    <w:rsid w:val="00867358"/>
    <w:rsid w:val="00870278"/>
    <w:rsid w:val="0087775D"/>
    <w:rsid w:val="0089224F"/>
    <w:rsid w:val="008925DB"/>
    <w:rsid w:val="00897C45"/>
    <w:rsid w:val="008A30E0"/>
    <w:rsid w:val="008B3F08"/>
    <w:rsid w:val="008B40F5"/>
    <w:rsid w:val="008B67B1"/>
    <w:rsid w:val="008C3DDE"/>
    <w:rsid w:val="008C7322"/>
    <w:rsid w:val="008D1966"/>
    <w:rsid w:val="008E3110"/>
    <w:rsid w:val="008E4C3E"/>
    <w:rsid w:val="008E4F91"/>
    <w:rsid w:val="008E5D75"/>
    <w:rsid w:val="008E7728"/>
    <w:rsid w:val="008F1F85"/>
    <w:rsid w:val="008F34FC"/>
    <w:rsid w:val="008F3C8A"/>
    <w:rsid w:val="00901504"/>
    <w:rsid w:val="00901FDD"/>
    <w:rsid w:val="009169A9"/>
    <w:rsid w:val="009272FF"/>
    <w:rsid w:val="0094759C"/>
    <w:rsid w:val="00947B33"/>
    <w:rsid w:val="00952D61"/>
    <w:rsid w:val="009644FC"/>
    <w:rsid w:val="009849E5"/>
    <w:rsid w:val="00995AFF"/>
    <w:rsid w:val="009A5DCC"/>
    <w:rsid w:val="009B428E"/>
    <w:rsid w:val="009B451F"/>
    <w:rsid w:val="009C014D"/>
    <w:rsid w:val="009C650F"/>
    <w:rsid w:val="009D3BCF"/>
    <w:rsid w:val="009E49AA"/>
    <w:rsid w:val="009F2AA2"/>
    <w:rsid w:val="009F7394"/>
    <w:rsid w:val="00A015C7"/>
    <w:rsid w:val="00A14430"/>
    <w:rsid w:val="00A16BA0"/>
    <w:rsid w:val="00A242FA"/>
    <w:rsid w:val="00A30D14"/>
    <w:rsid w:val="00A32BCB"/>
    <w:rsid w:val="00A32C2A"/>
    <w:rsid w:val="00A339FB"/>
    <w:rsid w:val="00A35FF9"/>
    <w:rsid w:val="00A36945"/>
    <w:rsid w:val="00A43595"/>
    <w:rsid w:val="00A45E4F"/>
    <w:rsid w:val="00A5014D"/>
    <w:rsid w:val="00A56120"/>
    <w:rsid w:val="00A577AD"/>
    <w:rsid w:val="00A627F7"/>
    <w:rsid w:val="00A6683F"/>
    <w:rsid w:val="00A73418"/>
    <w:rsid w:val="00A75BB1"/>
    <w:rsid w:val="00A7661B"/>
    <w:rsid w:val="00A776F0"/>
    <w:rsid w:val="00A81388"/>
    <w:rsid w:val="00A87373"/>
    <w:rsid w:val="00A926B9"/>
    <w:rsid w:val="00AA3384"/>
    <w:rsid w:val="00AA35D2"/>
    <w:rsid w:val="00AB2874"/>
    <w:rsid w:val="00AB5334"/>
    <w:rsid w:val="00AB6405"/>
    <w:rsid w:val="00AB69A6"/>
    <w:rsid w:val="00AC689E"/>
    <w:rsid w:val="00AD2006"/>
    <w:rsid w:val="00AD32F7"/>
    <w:rsid w:val="00AE5C50"/>
    <w:rsid w:val="00AF3EC8"/>
    <w:rsid w:val="00AF5738"/>
    <w:rsid w:val="00AF718B"/>
    <w:rsid w:val="00B031E1"/>
    <w:rsid w:val="00B044C8"/>
    <w:rsid w:val="00B05A2C"/>
    <w:rsid w:val="00B0654A"/>
    <w:rsid w:val="00B123C2"/>
    <w:rsid w:val="00B20051"/>
    <w:rsid w:val="00B31F65"/>
    <w:rsid w:val="00B343B5"/>
    <w:rsid w:val="00B422F7"/>
    <w:rsid w:val="00B45633"/>
    <w:rsid w:val="00B54FC2"/>
    <w:rsid w:val="00B577A1"/>
    <w:rsid w:val="00B623F8"/>
    <w:rsid w:val="00B76E5E"/>
    <w:rsid w:val="00B8162B"/>
    <w:rsid w:val="00B9766C"/>
    <w:rsid w:val="00BC1860"/>
    <w:rsid w:val="00BC4EA1"/>
    <w:rsid w:val="00BC7095"/>
    <w:rsid w:val="00BC7433"/>
    <w:rsid w:val="00BD1DA5"/>
    <w:rsid w:val="00BD7578"/>
    <w:rsid w:val="00BE63EF"/>
    <w:rsid w:val="00BE6D65"/>
    <w:rsid w:val="00BF60EA"/>
    <w:rsid w:val="00C12CEF"/>
    <w:rsid w:val="00C1553C"/>
    <w:rsid w:val="00C17DBF"/>
    <w:rsid w:val="00C204AE"/>
    <w:rsid w:val="00C210A5"/>
    <w:rsid w:val="00C30C97"/>
    <w:rsid w:val="00C34907"/>
    <w:rsid w:val="00C439CC"/>
    <w:rsid w:val="00C5666D"/>
    <w:rsid w:val="00C619DE"/>
    <w:rsid w:val="00C62CBD"/>
    <w:rsid w:val="00C63673"/>
    <w:rsid w:val="00C65B64"/>
    <w:rsid w:val="00C660CC"/>
    <w:rsid w:val="00C70C2F"/>
    <w:rsid w:val="00C734B4"/>
    <w:rsid w:val="00C7544A"/>
    <w:rsid w:val="00C826CC"/>
    <w:rsid w:val="00C84734"/>
    <w:rsid w:val="00C91527"/>
    <w:rsid w:val="00C927C9"/>
    <w:rsid w:val="00C93EB2"/>
    <w:rsid w:val="00C97299"/>
    <w:rsid w:val="00CA060B"/>
    <w:rsid w:val="00CA1A91"/>
    <w:rsid w:val="00CA4558"/>
    <w:rsid w:val="00CB1657"/>
    <w:rsid w:val="00CB17BC"/>
    <w:rsid w:val="00CB518A"/>
    <w:rsid w:val="00CB6057"/>
    <w:rsid w:val="00CB6757"/>
    <w:rsid w:val="00CC0142"/>
    <w:rsid w:val="00CE1E88"/>
    <w:rsid w:val="00CE3D9C"/>
    <w:rsid w:val="00CE5B51"/>
    <w:rsid w:val="00CE6640"/>
    <w:rsid w:val="00CF41B0"/>
    <w:rsid w:val="00D06235"/>
    <w:rsid w:val="00D07843"/>
    <w:rsid w:val="00D10C20"/>
    <w:rsid w:val="00D2333E"/>
    <w:rsid w:val="00D25193"/>
    <w:rsid w:val="00D25821"/>
    <w:rsid w:val="00D364FF"/>
    <w:rsid w:val="00D434CF"/>
    <w:rsid w:val="00D54400"/>
    <w:rsid w:val="00D54A77"/>
    <w:rsid w:val="00D61F5F"/>
    <w:rsid w:val="00D64783"/>
    <w:rsid w:val="00D6584D"/>
    <w:rsid w:val="00D77B85"/>
    <w:rsid w:val="00D84D5B"/>
    <w:rsid w:val="00D93198"/>
    <w:rsid w:val="00D93A8C"/>
    <w:rsid w:val="00DA4538"/>
    <w:rsid w:val="00DB0075"/>
    <w:rsid w:val="00DC3E3B"/>
    <w:rsid w:val="00DC45A1"/>
    <w:rsid w:val="00DC64D1"/>
    <w:rsid w:val="00DD0F4E"/>
    <w:rsid w:val="00DD1A77"/>
    <w:rsid w:val="00DD3B74"/>
    <w:rsid w:val="00DE068A"/>
    <w:rsid w:val="00DE65DA"/>
    <w:rsid w:val="00DE7A41"/>
    <w:rsid w:val="00DF4FC6"/>
    <w:rsid w:val="00E1079A"/>
    <w:rsid w:val="00E226DE"/>
    <w:rsid w:val="00E22820"/>
    <w:rsid w:val="00E2295B"/>
    <w:rsid w:val="00E30C1E"/>
    <w:rsid w:val="00E313C1"/>
    <w:rsid w:val="00E336C3"/>
    <w:rsid w:val="00E34CB9"/>
    <w:rsid w:val="00E36043"/>
    <w:rsid w:val="00E37C7B"/>
    <w:rsid w:val="00E53FBE"/>
    <w:rsid w:val="00E551E8"/>
    <w:rsid w:val="00E56348"/>
    <w:rsid w:val="00E64DD2"/>
    <w:rsid w:val="00E65D01"/>
    <w:rsid w:val="00E72C79"/>
    <w:rsid w:val="00E74A4E"/>
    <w:rsid w:val="00E86DA8"/>
    <w:rsid w:val="00E9121E"/>
    <w:rsid w:val="00E91671"/>
    <w:rsid w:val="00EA03AB"/>
    <w:rsid w:val="00EA307D"/>
    <w:rsid w:val="00EA5A9C"/>
    <w:rsid w:val="00EC52AD"/>
    <w:rsid w:val="00EC7E46"/>
    <w:rsid w:val="00ED2EAD"/>
    <w:rsid w:val="00EE0BD3"/>
    <w:rsid w:val="00EE1237"/>
    <w:rsid w:val="00EF4188"/>
    <w:rsid w:val="00EF54AC"/>
    <w:rsid w:val="00EF6F3B"/>
    <w:rsid w:val="00F04171"/>
    <w:rsid w:val="00F12356"/>
    <w:rsid w:val="00F227F0"/>
    <w:rsid w:val="00F267DC"/>
    <w:rsid w:val="00F277A1"/>
    <w:rsid w:val="00F319F6"/>
    <w:rsid w:val="00F46468"/>
    <w:rsid w:val="00F47ED0"/>
    <w:rsid w:val="00F66FEE"/>
    <w:rsid w:val="00F70C85"/>
    <w:rsid w:val="00F83243"/>
    <w:rsid w:val="00F91E1F"/>
    <w:rsid w:val="00F95BF6"/>
    <w:rsid w:val="00F96D2F"/>
    <w:rsid w:val="00F97B3E"/>
    <w:rsid w:val="00FA3A79"/>
    <w:rsid w:val="00FA54D9"/>
    <w:rsid w:val="00FB69B1"/>
    <w:rsid w:val="00FC0E19"/>
    <w:rsid w:val="00FC16BB"/>
    <w:rsid w:val="00FC4CCF"/>
    <w:rsid w:val="00FC6046"/>
    <w:rsid w:val="00FC7FED"/>
    <w:rsid w:val="00FE2A93"/>
    <w:rsid w:val="00FF2752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3328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4</cp:revision>
  <cp:lastPrinted>2021-03-18T10:22:00Z</cp:lastPrinted>
  <dcterms:created xsi:type="dcterms:W3CDTF">2022-08-21T14:49:00Z</dcterms:created>
  <dcterms:modified xsi:type="dcterms:W3CDTF">2022-08-21T15:22:00Z</dcterms:modified>
</cp:coreProperties>
</file>