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42815EB4" w:rsidR="00A32BCB" w:rsidRDefault="00F12356">
      <w:pPr>
        <w:widowControl w:val="0"/>
      </w:pPr>
      <w:r>
        <w:t>Winter</w:t>
      </w:r>
      <w:r w:rsidR="005D104B">
        <w:t xml:space="preserve"> 20</w:t>
      </w:r>
      <w:r w:rsidR="00E1079A">
        <w:t>20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21882EC9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E1079A">
        <w:rPr>
          <w:b/>
        </w:rPr>
        <w:t>Thomas Ogdens Artikel „Zur Analyse von Lebendigem und Totem in Übertragung und Gegenübertragung“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26A1BE28" w14:textId="3CDF3CB2" w:rsidR="006001BF" w:rsidRDefault="00E1079A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Aus der Gegenübertragung des Analytikers seien Übertragungsdeutungen möglich (dt. 1067). Ja, aber wie unterscheidet man Gegenübertragung von der Übertragung der Analytikerin auf die Patientin? Oder spielt das keine Rolle?</w:t>
      </w:r>
    </w:p>
    <w:p w14:paraId="077F6200" w14:textId="317E0844" w:rsidR="00E1079A" w:rsidRDefault="00E1079A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Versteht sich Ogden selbst denn als Analytiker Kleinianischer Prägung, wie ihn die </w:t>
      </w:r>
      <w:r w:rsidRPr="005E74AD">
        <w:rPr>
          <w:i/>
          <w:lang w:val="de-CH"/>
        </w:rPr>
        <w:t>Psyche</w:t>
      </w:r>
      <w:r>
        <w:rPr>
          <w:lang w:val="de-CH"/>
        </w:rPr>
        <w:t xml:space="preserve"> apostrophiert (1067)? </w:t>
      </w:r>
    </w:p>
    <w:p w14:paraId="5B283B76" w14:textId="258106C7" w:rsidR="00E1079A" w:rsidRDefault="00E1079A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„I believe that every form of psychopathology represents a specific type of limitation of the individual’s capacity to be fully alive as a human being“ (engl. S. 129). Frage: Gilt dieser Satz ohne Ausnahme? (Vgl. z.B. Heideggers Sicht der Angst als Welterschliessung.) Handelt es sich um eine definitorische, empirische, normative oder zirkuläre Aussage? </w:t>
      </w:r>
    </w:p>
    <w:p w14:paraId="019AAA39" w14:textId="3C3695AC" w:rsidR="00E1079A" w:rsidRDefault="00E1079A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Welches Ziel habe, laut Ogden, die Psychoanalyse bzw. die psychodynamische Psychotherapie (1069)? </w:t>
      </w:r>
    </w:p>
    <w:p w14:paraId="1518AD52" w14:textId="710905F2" w:rsidR="00E1079A" w:rsidRDefault="00E1079A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eigentlich „experience of aliveness“, wenn man dies in eigenen Worten, ohne Ogden- oder Winnicott-Zitate zur Sprache bringen möchte? </w:t>
      </w:r>
    </w:p>
    <w:p w14:paraId="2E9767D0" w14:textId="47DA9F27" w:rsidR="00323B25" w:rsidRDefault="00323B25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Ogden sagt, „the aliveness“ narrativ, anhand von Fallbeispielen</w:t>
      </w:r>
      <w:r w:rsidR="00641EF6">
        <w:rPr>
          <w:lang w:val="de-CH"/>
        </w:rPr>
        <w:t xml:space="preserve"> zu erläutern. Was bedeutet das? I</w:t>
      </w:r>
      <w:r>
        <w:rPr>
          <w:lang w:val="de-CH"/>
        </w:rPr>
        <w:t xml:space="preserve">st aliveness nur so vermittelbar </w:t>
      </w:r>
      <w:r w:rsidR="00641EF6">
        <w:rPr>
          <w:lang w:val="de-CH"/>
        </w:rPr>
        <w:t xml:space="preserve">oder aufzeigbar, das würde heissen, </w:t>
      </w:r>
      <w:r>
        <w:rPr>
          <w:lang w:val="de-CH"/>
        </w:rPr>
        <w:t xml:space="preserve">sie </w:t>
      </w:r>
      <w:r w:rsidR="00641EF6">
        <w:rPr>
          <w:lang w:val="de-CH"/>
        </w:rPr>
        <w:t xml:space="preserve">könnte </w:t>
      </w:r>
      <w:r>
        <w:rPr>
          <w:lang w:val="de-CH"/>
        </w:rPr>
        <w:t xml:space="preserve">wesensgemäss im engeren Sinn </w:t>
      </w:r>
      <w:r w:rsidR="00641EF6">
        <w:rPr>
          <w:lang w:val="de-CH"/>
        </w:rPr>
        <w:t xml:space="preserve">nicht </w:t>
      </w:r>
      <w:r>
        <w:rPr>
          <w:lang w:val="de-CH"/>
        </w:rPr>
        <w:t xml:space="preserve">gedacht werden (vgl. Plato, Dialog Menon)? </w:t>
      </w:r>
    </w:p>
    <w:p w14:paraId="77385CEA" w14:textId="0DFB6D77" w:rsidR="00641EF6" w:rsidRDefault="00641EF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Ogden versteht sein gelangweiltes Pulszählen in der Verlängerung von Green als „analytic object“ (</w:t>
      </w:r>
      <w:r w:rsidR="00136829">
        <w:rPr>
          <w:lang w:val="de-CH"/>
        </w:rPr>
        <w:t>S.</w:t>
      </w:r>
      <w:r>
        <w:rPr>
          <w:lang w:val="de-CH"/>
        </w:rPr>
        <w:t xml:space="preserve">1071). Das tönt natürlich gut, aber sehen Sie eine Möglichkeit, diesen Fach-Sprech in eigenen Worten zu umschreiben? Übrigens: Gibt es einen Bezug zwischen der Chimäre de M’Uzans und dem „analytic third“, wie ihn hier Ogden vorstellt? </w:t>
      </w:r>
    </w:p>
    <w:p w14:paraId="647A2D6B" w14:textId="49A264B3" w:rsidR="00CA1A91" w:rsidRDefault="00CA1A9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verbinden Sie Fall I, nämlich die Analyse mit Frau N. (ab S.1070) mit den vorangestellten theoretischen Überlegungen Ogdens? </w:t>
      </w:r>
    </w:p>
    <w:p w14:paraId="0BA164BD" w14:textId="46851447" w:rsidR="00CA1A91" w:rsidRDefault="00CA1A9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verfällt der Analytiker auf die Idee, </w:t>
      </w:r>
      <w:r w:rsidR="00136829">
        <w:rPr>
          <w:lang w:val="de-CH"/>
        </w:rPr>
        <w:t xml:space="preserve">Frau N. habe keine Alternative, als das Leben einer anderen Person parasitär zu </w:t>
      </w:r>
      <w:r w:rsidR="00136829" w:rsidRPr="00136829">
        <w:rPr>
          <w:i/>
          <w:lang w:val="de-CH"/>
        </w:rPr>
        <w:t>stehlen</w:t>
      </w:r>
      <w:r w:rsidR="00136829">
        <w:rPr>
          <w:lang w:val="de-CH"/>
        </w:rPr>
        <w:t xml:space="preserve">? Kennen Sie ähnliche Fallbeispiele? </w:t>
      </w:r>
    </w:p>
    <w:p w14:paraId="7A67B38B" w14:textId="31686BC7" w:rsidR="00136829" w:rsidRDefault="0013682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interpretieren Sie den Traum von Frau N. (S.1072)? </w:t>
      </w:r>
    </w:p>
    <w:p w14:paraId="01A31C3E" w14:textId="5DF722E5" w:rsidR="00136829" w:rsidRDefault="0013682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Hat das undenkbare „Ding an sich“ (S.</w:t>
      </w:r>
      <w:r w:rsidR="00334D03">
        <w:rPr>
          <w:lang w:val="de-CH"/>
        </w:rPr>
        <w:t xml:space="preserve">1074) einen Bezug zur postulierten Erfahrung der „aliveness“? Welchen? </w:t>
      </w:r>
      <w:r w:rsidR="00334D03">
        <w:rPr>
          <w:lang w:val="de-CH"/>
        </w:rPr>
        <w:br/>
      </w:r>
      <w:bookmarkStart w:id="0" w:name="_GoBack"/>
      <w:bookmarkEnd w:id="0"/>
      <w:r w:rsidR="00334D03">
        <w:rPr>
          <w:lang w:val="de-CH"/>
        </w:rPr>
        <w:br/>
      </w:r>
      <w:r w:rsidR="00334D03">
        <w:rPr>
          <w:lang w:val="de-CH"/>
        </w:rPr>
        <w:br/>
        <w:t>CMdL</w:t>
      </w:r>
      <w:r w:rsidR="00A627F7">
        <w:rPr>
          <w:lang w:val="de-CH"/>
        </w:rPr>
        <w:t>,</w:t>
      </w:r>
      <w:r w:rsidR="00334D03">
        <w:rPr>
          <w:lang w:val="de-CH"/>
        </w:rPr>
        <w:t xml:space="preserve"> Januar 2020</w:t>
      </w:r>
    </w:p>
    <w:p w14:paraId="08FFFB59" w14:textId="60F8C9E3" w:rsidR="00193085" w:rsidRPr="00334D03" w:rsidRDefault="00193085" w:rsidP="0079791D">
      <w:pPr>
        <w:rPr>
          <w:lang w:val="de-CH"/>
        </w:rPr>
      </w:pPr>
    </w:p>
    <w:sectPr w:rsidR="00193085" w:rsidRPr="00334D03" w:rsidSect="00A30D14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3995" w14:textId="77777777" w:rsidR="00F83243" w:rsidRDefault="00F83243" w:rsidP="001C17E0">
      <w:r>
        <w:separator/>
      </w:r>
    </w:p>
  </w:endnote>
  <w:endnote w:type="continuationSeparator" w:id="0">
    <w:p w14:paraId="3776550C" w14:textId="77777777" w:rsidR="00F83243" w:rsidRDefault="00F83243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27F7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4DB6" w14:textId="77777777" w:rsidR="00F83243" w:rsidRDefault="00F83243" w:rsidP="001C17E0">
      <w:r>
        <w:separator/>
      </w:r>
    </w:p>
  </w:footnote>
  <w:footnote w:type="continuationSeparator" w:id="0">
    <w:p w14:paraId="69BCF1FD" w14:textId="77777777" w:rsidR="00F83243" w:rsidRDefault="00F83243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3E9F"/>
    <w:rsid w:val="0006011A"/>
    <w:rsid w:val="000774A6"/>
    <w:rsid w:val="00097BCE"/>
    <w:rsid w:val="000A7D53"/>
    <w:rsid w:val="000B4E93"/>
    <w:rsid w:val="000C7B11"/>
    <w:rsid w:val="000E4F13"/>
    <w:rsid w:val="000E5E05"/>
    <w:rsid w:val="000F580C"/>
    <w:rsid w:val="0010790F"/>
    <w:rsid w:val="00112F0C"/>
    <w:rsid w:val="00136829"/>
    <w:rsid w:val="001445C6"/>
    <w:rsid w:val="00145232"/>
    <w:rsid w:val="00152FBB"/>
    <w:rsid w:val="0015406F"/>
    <w:rsid w:val="00161373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95995"/>
    <w:rsid w:val="00296E4F"/>
    <w:rsid w:val="00297599"/>
    <w:rsid w:val="002A2676"/>
    <w:rsid w:val="002B56A6"/>
    <w:rsid w:val="002C4884"/>
    <w:rsid w:val="002F24F8"/>
    <w:rsid w:val="00300911"/>
    <w:rsid w:val="00323B25"/>
    <w:rsid w:val="00334D03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C3775"/>
    <w:rsid w:val="003D4CD2"/>
    <w:rsid w:val="003E7EFD"/>
    <w:rsid w:val="003F2F52"/>
    <w:rsid w:val="004000A1"/>
    <w:rsid w:val="00403162"/>
    <w:rsid w:val="00410138"/>
    <w:rsid w:val="00413365"/>
    <w:rsid w:val="004208B2"/>
    <w:rsid w:val="004321CA"/>
    <w:rsid w:val="00452E54"/>
    <w:rsid w:val="00467F71"/>
    <w:rsid w:val="00473592"/>
    <w:rsid w:val="004814EF"/>
    <w:rsid w:val="00485156"/>
    <w:rsid w:val="00486DE4"/>
    <w:rsid w:val="00490BBC"/>
    <w:rsid w:val="00492DB8"/>
    <w:rsid w:val="004A2151"/>
    <w:rsid w:val="004B5872"/>
    <w:rsid w:val="004F7F9A"/>
    <w:rsid w:val="00504EF9"/>
    <w:rsid w:val="005060B7"/>
    <w:rsid w:val="005145A4"/>
    <w:rsid w:val="005201AE"/>
    <w:rsid w:val="005205E4"/>
    <w:rsid w:val="00523771"/>
    <w:rsid w:val="005366C7"/>
    <w:rsid w:val="00547BB5"/>
    <w:rsid w:val="0055188A"/>
    <w:rsid w:val="00553ACB"/>
    <w:rsid w:val="0055528F"/>
    <w:rsid w:val="0056656D"/>
    <w:rsid w:val="00566ED9"/>
    <w:rsid w:val="0057164D"/>
    <w:rsid w:val="00577B06"/>
    <w:rsid w:val="00591D2C"/>
    <w:rsid w:val="005942D6"/>
    <w:rsid w:val="005B32E1"/>
    <w:rsid w:val="005D104B"/>
    <w:rsid w:val="005E1F02"/>
    <w:rsid w:val="005E74AD"/>
    <w:rsid w:val="005F0613"/>
    <w:rsid w:val="006001BF"/>
    <w:rsid w:val="00601EA4"/>
    <w:rsid w:val="00615B12"/>
    <w:rsid w:val="00615D90"/>
    <w:rsid w:val="00617F35"/>
    <w:rsid w:val="0062072D"/>
    <w:rsid w:val="00641EF6"/>
    <w:rsid w:val="00644D92"/>
    <w:rsid w:val="00653176"/>
    <w:rsid w:val="00682481"/>
    <w:rsid w:val="00682FD8"/>
    <w:rsid w:val="00685F98"/>
    <w:rsid w:val="006B6795"/>
    <w:rsid w:val="006D2710"/>
    <w:rsid w:val="006D430F"/>
    <w:rsid w:val="006E4DAF"/>
    <w:rsid w:val="006F3BF7"/>
    <w:rsid w:val="006F64D4"/>
    <w:rsid w:val="0072098D"/>
    <w:rsid w:val="00722131"/>
    <w:rsid w:val="00722BA3"/>
    <w:rsid w:val="00727B19"/>
    <w:rsid w:val="00733EA0"/>
    <w:rsid w:val="00736D06"/>
    <w:rsid w:val="007443D5"/>
    <w:rsid w:val="00765EB4"/>
    <w:rsid w:val="0077040D"/>
    <w:rsid w:val="00772D14"/>
    <w:rsid w:val="00773856"/>
    <w:rsid w:val="00774DDE"/>
    <w:rsid w:val="0079791D"/>
    <w:rsid w:val="007A0B0C"/>
    <w:rsid w:val="007B25D5"/>
    <w:rsid w:val="007B4116"/>
    <w:rsid w:val="007D5328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70278"/>
    <w:rsid w:val="0089224F"/>
    <w:rsid w:val="008925DB"/>
    <w:rsid w:val="008A30E0"/>
    <w:rsid w:val="008B3F08"/>
    <w:rsid w:val="008B67B1"/>
    <w:rsid w:val="008C3DDE"/>
    <w:rsid w:val="008D1966"/>
    <w:rsid w:val="008E3110"/>
    <w:rsid w:val="008E4F91"/>
    <w:rsid w:val="008E5D75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5E4F"/>
    <w:rsid w:val="00A5014D"/>
    <w:rsid w:val="00A56120"/>
    <w:rsid w:val="00A577AD"/>
    <w:rsid w:val="00A627F7"/>
    <w:rsid w:val="00A6683F"/>
    <w:rsid w:val="00A7661B"/>
    <w:rsid w:val="00A776F0"/>
    <w:rsid w:val="00A81388"/>
    <w:rsid w:val="00A87373"/>
    <w:rsid w:val="00AA35D2"/>
    <w:rsid w:val="00AB2874"/>
    <w:rsid w:val="00AB5334"/>
    <w:rsid w:val="00AB6405"/>
    <w:rsid w:val="00AB69A6"/>
    <w:rsid w:val="00AC689E"/>
    <w:rsid w:val="00AD2006"/>
    <w:rsid w:val="00AE5C50"/>
    <w:rsid w:val="00B044C8"/>
    <w:rsid w:val="00B623F8"/>
    <w:rsid w:val="00B76E5E"/>
    <w:rsid w:val="00B8162B"/>
    <w:rsid w:val="00B9766C"/>
    <w:rsid w:val="00BC1860"/>
    <w:rsid w:val="00BC4EA1"/>
    <w:rsid w:val="00BC7433"/>
    <w:rsid w:val="00BD1DA5"/>
    <w:rsid w:val="00BD7578"/>
    <w:rsid w:val="00BE63EF"/>
    <w:rsid w:val="00C12CEF"/>
    <w:rsid w:val="00C1553C"/>
    <w:rsid w:val="00C30C97"/>
    <w:rsid w:val="00C34907"/>
    <w:rsid w:val="00C439CC"/>
    <w:rsid w:val="00C619DE"/>
    <w:rsid w:val="00C62CBD"/>
    <w:rsid w:val="00C63673"/>
    <w:rsid w:val="00C660CC"/>
    <w:rsid w:val="00C734B4"/>
    <w:rsid w:val="00C7544A"/>
    <w:rsid w:val="00C84734"/>
    <w:rsid w:val="00C97299"/>
    <w:rsid w:val="00CA060B"/>
    <w:rsid w:val="00CA1A91"/>
    <w:rsid w:val="00CE3D9C"/>
    <w:rsid w:val="00CE5B51"/>
    <w:rsid w:val="00D07843"/>
    <w:rsid w:val="00D10C20"/>
    <w:rsid w:val="00D25193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1079A"/>
    <w:rsid w:val="00E22820"/>
    <w:rsid w:val="00E2295B"/>
    <w:rsid w:val="00E313C1"/>
    <w:rsid w:val="00E336C3"/>
    <w:rsid w:val="00E64DD2"/>
    <w:rsid w:val="00E72C79"/>
    <w:rsid w:val="00E74A4E"/>
    <w:rsid w:val="00E86DA8"/>
    <w:rsid w:val="00E9121E"/>
    <w:rsid w:val="00EA307D"/>
    <w:rsid w:val="00EC52AD"/>
    <w:rsid w:val="00EE1237"/>
    <w:rsid w:val="00EF6F3B"/>
    <w:rsid w:val="00F04171"/>
    <w:rsid w:val="00F12356"/>
    <w:rsid w:val="00F227F0"/>
    <w:rsid w:val="00F277A1"/>
    <w:rsid w:val="00F47ED0"/>
    <w:rsid w:val="00F66FEE"/>
    <w:rsid w:val="00F83243"/>
    <w:rsid w:val="00F95BF6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2635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6</cp:revision>
  <cp:lastPrinted>2019-08-18T12:19:00Z</cp:lastPrinted>
  <dcterms:created xsi:type="dcterms:W3CDTF">2020-01-04T13:59:00Z</dcterms:created>
  <dcterms:modified xsi:type="dcterms:W3CDTF">2020-01-04T14:49:00Z</dcterms:modified>
</cp:coreProperties>
</file>