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1F01" w14:textId="77777777" w:rsidR="00A32BCB" w:rsidRDefault="00E74A4E">
      <w:pPr>
        <w:widowControl w:val="0"/>
      </w:pPr>
      <w:r>
        <w:t>Freud Institut Zürich</w:t>
      </w:r>
    </w:p>
    <w:p w14:paraId="4DD14946" w14:textId="076C37C2" w:rsidR="00A32BCB" w:rsidRDefault="00653176">
      <w:pPr>
        <w:widowControl w:val="0"/>
      </w:pPr>
      <w:r>
        <w:t>Herbst 2018</w:t>
      </w:r>
    </w:p>
    <w:p w14:paraId="70F4D48C" w14:textId="72C60BB9" w:rsidR="00A32BCB" w:rsidRDefault="00BC4EA1">
      <w:pPr>
        <w:widowControl w:val="0"/>
        <w:rPr>
          <w:i/>
        </w:rPr>
      </w:pPr>
      <w:r>
        <w:rPr>
          <w:i/>
        </w:rPr>
        <w:t>Psychoanalytisches Kolloquium</w:t>
      </w:r>
    </w:p>
    <w:p w14:paraId="7B8B020E" w14:textId="32BCBC75" w:rsidR="00A32BCB" w:rsidRDefault="00A32BCB">
      <w:pPr>
        <w:rPr>
          <w:b/>
        </w:rPr>
      </w:pPr>
      <w:r>
        <w:t>D</w:t>
      </w:r>
      <w:r w:rsidR="00E74A4E">
        <w:t>r. med. Charles Mendes de Leon</w:t>
      </w:r>
      <w:r w:rsidR="00BC4EA1">
        <w:t xml:space="preserve"> (Moderation)</w:t>
      </w:r>
    </w:p>
    <w:p w14:paraId="1EDAD563" w14:textId="77777777" w:rsidR="00A32BCB" w:rsidRDefault="00A32BCB">
      <w:pPr>
        <w:rPr>
          <w:b/>
        </w:rPr>
      </w:pPr>
    </w:p>
    <w:p w14:paraId="4C390C02" w14:textId="77777777" w:rsidR="00A32BCB" w:rsidRDefault="00A32BCB">
      <w:pPr>
        <w:rPr>
          <w:b/>
        </w:rPr>
      </w:pPr>
    </w:p>
    <w:p w14:paraId="438E88C9" w14:textId="77777777" w:rsidR="00BC1860" w:rsidRDefault="00BC1860">
      <w:pPr>
        <w:rPr>
          <w:b/>
        </w:rPr>
      </w:pPr>
    </w:p>
    <w:p w14:paraId="4E225B9D" w14:textId="76A749F8" w:rsidR="00A32BCB" w:rsidRDefault="00BC4EA1">
      <w:pPr>
        <w:rPr>
          <w:b/>
        </w:rPr>
      </w:pPr>
      <w:r>
        <w:rPr>
          <w:b/>
        </w:rPr>
        <w:t>Inputfragen für die Diskussion über</w:t>
      </w:r>
      <w:r w:rsidR="001445C6">
        <w:rPr>
          <w:b/>
        </w:rPr>
        <w:t xml:space="preserve"> </w:t>
      </w:r>
      <w:r w:rsidR="008D7010">
        <w:rPr>
          <w:b/>
        </w:rPr>
        <w:t>T.H. Ogdens „Fear of breakdown and the unlived life“</w:t>
      </w:r>
      <w:r>
        <w:rPr>
          <w:b/>
        </w:rPr>
        <w:t xml:space="preserve"> </w:t>
      </w:r>
    </w:p>
    <w:p w14:paraId="574B12E9" w14:textId="77777777" w:rsidR="00EA307D" w:rsidRDefault="00EA307D">
      <w:pPr>
        <w:rPr>
          <w:b/>
        </w:rPr>
      </w:pPr>
    </w:p>
    <w:p w14:paraId="47C870C2" w14:textId="428B6184" w:rsidR="003942C2" w:rsidRPr="003942C2" w:rsidRDefault="003942C2">
      <w:r>
        <w:t xml:space="preserve">Bei den Fragen handelt </w:t>
      </w:r>
      <w:r w:rsidR="00C97299">
        <w:t>es sich nicht um Übungs- sondern</w:t>
      </w:r>
      <w:r>
        <w:t xml:space="preserve"> um Inputfragen für die Diskussion. Es </w:t>
      </w:r>
      <w:r w:rsidR="00BD7578">
        <w:t>sind</w:t>
      </w:r>
      <w:r>
        <w:t xml:space="preserve"> einige </w:t>
      </w:r>
      <w:r w:rsidR="00BD7578">
        <w:t xml:space="preserve">aufgezeichnete </w:t>
      </w:r>
      <w:r>
        <w:t>Gedanken, die mir beim Lesen in den Sinn</w:t>
      </w:r>
      <w:r w:rsidR="00BD7578">
        <w:t xml:space="preserve"> gekommen sind und die ich in Fragen</w:t>
      </w:r>
      <w:r>
        <w:t xml:space="preserve"> </w:t>
      </w:r>
      <w:r w:rsidR="00BD7578">
        <w:t>transformiert</w:t>
      </w:r>
      <w:r>
        <w:t xml:space="preserve"> habe. Ich gehe davon aus, dass Ihnen andere, vielleicht interessantere Gedanken eingefallen sind. Ich möchte Sie</w:t>
      </w:r>
      <w:r w:rsidR="00BD7578">
        <w:t xml:space="preserve"> deshalb</w:t>
      </w:r>
      <w:r>
        <w:t xml:space="preserve"> bitten, diese in die Diskussion einzubringen. </w:t>
      </w:r>
    </w:p>
    <w:p w14:paraId="6F9AAA06" w14:textId="77777777" w:rsidR="003942C2" w:rsidRDefault="003942C2">
      <w:pPr>
        <w:rPr>
          <w:b/>
        </w:rPr>
      </w:pPr>
    </w:p>
    <w:p w14:paraId="1B79A96F" w14:textId="77777777" w:rsidR="003942C2" w:rsidRDefault="003942C2">
      <w:pPr>
        <w:rPr>
          <w:b/>
        </w:rPr>
      </w:pPr>
    </w:p>
    <w:p w14:paraId="76216017" w14:textId="77777777" w:rsidR="00EA307D" w:rsidRPr="00EA307D" w:rsidRDefault="00EA307D">
      <w:pPr>
        <w:rPr>
          <w:b/>
          <w:lang w:val="de-CH"/>
        </w:rPr>
      </w:pPr>
    </w:p>
    <w:p w14:paraId="63A87EDF" w14:textId="3DDEE3D7" w:rsidR="008E5D75" w:rsidRDefault="008D7010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Ogden stellt die Frage in den Raum: „</w:t>
      </w:r>
      <w:r>
        <w:rPr>
          <w:lang w:val="en-GB"/>
        </w:rPr>
        <w:t>Who, other than Winnicott</w:t>
      </w:r>
      <w:r>
        <w:rPr>
          <w:lang w:val="de-CH"/>
        </w:rPr>
        <w:t>, could have written these words“. Fällt einem da nicht sofort eine ganz bekannte Stelle aus der psychoanalytischen Literatur ein, die ungefähr dasselbe aussagt (</w:t>
      </w:r>
      <w:r w:rsidR="00227E29">
        <w:rPr>
          <w:lang w:val="de-CH"/>
        </w:rPr>
        <w:t>S.</w:t>
      </w:r>
      <w:r>
        <w:rPr>
          <w:lang w:val="de-CH"/>
        </w:rPr>
        <w:t xml:space="preserve">206)? Tipp: Die Textpassage ist noch etwas pointierter und besagt: </w:t>
      </w:r>
      <w:r w:rsidRPr="008D7010">
        <w:rPr>
          <w:i/>
          <w:lang w:val="de-CH"/>
        </w:rPr>
        <w:t>Es ist keine Sünde, zu hinken.</w:t>
      </w:r>
      <w:r>
        <w:rPr>
          <w:lang w:val="de-CH"/>
        </w:rPr>
        <w:t xml:space="preserve"> </w:t>
      </w:r>
    </w:p>
    <w:p w14:paraId="5705CA80" w14:textId="4B11C827" w:rsidR="008D7010" w:rsidRDefault="008D7010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Zur Bedeutung der Sprache in der Psychoanalyse: Teilen Sie die Sichtweise Ogdens hinsichtlich der Bedeutung der Sprache und des wissenschaftlichen Schreibens in der Psychoanalyse (209)? Könnte man eine Brücke</w:t>
      </w:r>
      <w:r w:rsidR="008273DE">
        <w:rPr>
          <w:lang w:val="de-CH"/>
        </w:rPr>
        <w:t xml:space="preserve"> </w:t>
      </w:r>
      <w:r w:rsidR="00F4772B">
        <w:rPr>
          <w:lang w:val="de-CH"/>
        </w:rPr>
        <w:t>schlagen zu</w:t>
      </w:r>
      <w:r>
        <w:rPr>
          <w:lang w:val="de-CH"/>
        </w:rPr>
        <w:t xml:space="preserve"> André Greens klarer Differenzierung zwischen „sprechenden und nicht sprechenden Texten“</w:t>
      </w:r>
      <w:r w:rsidR="008273DE">
        <w:rPr>
          <w:lang w:val="de-CH"/>
        </w:rPr>
        <w:t xml:space="preserve"> (s</w:t>
      </w:r>
      <w:r>
        <w:rPr>
          <w:lang w:val="de-CH"/>
        </w:rPr>
        <w:t>prechend zum psychoan</w:t>
      </w:r>
      <w:r w:rsidR="008273DE">
        <w:rPr>
          <w:lang w:val="de-CH"/>
        </w:rPr>
        <w:t>alytischen Kliniker natürlich)?</w:t>
      </w:r>
    </w:p>
    <w:p w14:paraId="38F17A6E" w14:textId="272AE56B" w:rsidR="00535F8C" w:rsidRDefault="008D7010" w:rsidP="00535F8C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Kann man einen Bezug zum poetischen Sprechen herstel</w:t>
      </w:r>
      <w:r w:rsidR="00535F8C">
        <w:rPr>
          <w:lang w:val="de-CH"/>
        </w:rPr>
        <w:t xml:space="preserve">len (208), wenn Ogden schreibt: </w:t>
      </w:r>
      <w:r>
        <w:rPr>
          <w:lang w:val="de-CH"/>
        </w:rPr>
        <w:t>„Winnicott … invents a new, purposefully disorienting language for what he is trying to convey …“ und „[Winnicott ] succeeds in destabilizing the reader“</w:t>
      </w:r>
      <w:r w:rsidR="00535F8C">
        <w:rPr>
          <w:lang w:val="de-CH"/>
        </w:rPr>
        <w:t>?</w:t>
      </w:r>
    </w:p>
    <w:p w14:paraId="33AFFC09" w14:textId="0278945B" w:rsidR="00535F8C" w:rsidRDefault="00535F8C" w:rsidP="00535F8C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Welche Bedeutung hat bei Ogden „Bedeutung“ (meaning) (z.B. S.209)? </w:t>
      </w:r>
    </w:p>
    <w:p w14:paraId="1450FFF8" w14:textId="752B3252" w:rsidR="00535F8C" w:rsidRDefault="00535F8C" w:rsidP="00535F8C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Warum ist die „defence organization“ vermutlich des falschen Selbst – denn „psychotic in nat</w:t>
      </w:r>
      <w:r w:rsidR="008C65C1">
        <w:rPr>
          <w:lang w:val="de-CH"/>
        </w:rPr>
        <w:t>ure“ (wesensmässig psychotisch [</w:t>
      </w:r>
      <w:r>
        <w:rPr>
          <w:lang w:val="de-CH"/>
        </w:rPr>
        <w:t>Übersetzung CMdL</w:t>
      </w:r>
      <w:r w:rsidR="008C65C1">
        <w:rPr>
          <w:lang w:val="de-CH"/>
        </w:rPr>
        <w:t>]</w:t>
      </w:r>
      <w:bookmarkStart w:id="0" w:name="_GoBack"/>
      <w:bookmarkEnd w:id="0"/>
      <w:r>
        <w:rPr>
          <w:lang w:val="de-CH"/>
        </w:rPr>
        <w:t>)? Was bedeutet das, wenn es denn zutrifft, für die analytische Technik? (S.209)</w:t>
      </w:r>
    </w:p>
    <w:p w14:paraId="61781CA7" w14:textId="63BC05C3" w:rsidR="00605B1B" w:rsidRDefault="00535F8C" w:rsidP="00605B1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„The reader must do a good deal of work here: he must not only read the paper, he must </w:t>
      </w:r>
      <w:r w:rsidR="00605B1B">
        <w:rPr>
          <w:lang w:val="de-CH"/>
        </w:rPr>
        <w:t>also write it“ (S.210). Versuchen wir’s und „schreiben“ folgende Stelle, paraphrasierend und ohne Verwendung von Fachjargon (210): „Return to an unintegrated state, self-holding, loss of psychosomatic collusion, failure of indwelling (= inhabitare), loss of sense of real, loss of capacity to relate to objects.“ Wie könnte das klinisch aussehen?</w:t>
      </w:r>
    </w:p>
    <w:p w14:paraId="6D64F509" w14:textId="79E92CCA" w:rsidR="00FF7CED" w:rsidRDefault="00FF7CED" w:rsidP="00605B1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Warum, meint Ogden, eigne sich die </w:t>
      </w:r>
      <w:r w:rsidRPr="00FF7CED">
        <w:rPr>
          <w:i/>
          <w:lang w:val="de-CH"/>
        </w:rPr>
        <w:t>Nachträglichkeit</w:t>
      </w:r>
      <w:r>
        <w:rPr>
          <w:lang w:val="de-CH"/>
        </w:rPr>
        <w:t xml:space="preserve"> nicht, um die Angst vor dem Breakdown zu verstehen? Leuchtet die Argumentation des Autors ein? </w:t>
      </w:r>
      <w:r w:rsidR="00986C89">
        <w:rPr>
          <w:lang w:val="de-CH"/>
        </w:rPr>
        <w:t>(S.211)</w:t>
      </w:r>
    </w:p>
    <w:p w14:paraId="01684303" w14:textId="4127A357" w:rsidR="00227E29" w:rsidRDefault="00986C89" w:rsidP="00605B1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Zusammenhang zwischen Winnicotts/Ogdens Vorstellung eines </w:t>
      </w:r>
      <w:r w:rsidRPr="00986C89">
        <w:rPr>
          <w:i/>
          <w:lang w:val="de-CH"/>
        </w:rPr>
        <w:t>nicht erlebten Ereignisses</w:t>
      </w:r>
      <w:r>
        <w:rPr>
          <w:lang w:val="de-CH"/>
        </w:rPr>
        <w:t xml:space="preserve"> (event has not been experienced) und der klassischen französischen Psychosomatik (S.212)? Einwand: entspricht der später erlebte fear of breakdown nicht doch einer Einschreibung in die Vorstellungsrepräsentanz – im Unterschied zu de M’Uzan und Marty? </w:t>
      </w:r>
    </w:p>
    <w:p w14:paraId="26F5DCE2" w14:textId="1D74D98C" w:rsidR="00986C89" w:rsidRDefault="00227E29" w:rsidP="0040270F">
      <w:pPr>
        <w:rPr>
          <w:lang w:val="de-CH"/>
        </w:rPr>
      </w:pPr>
      <w:r>
        <w:rPr>
          <w:lang w:val="de-CH"/>
        </w:rPr>
        <w:br w:type="page"/>
      </w:r>
    </w:p>
    <w:p w14:paraId="30EA788E" w14:textId="4C2496B4" w:rsidR="00986C89" w:rsidRDefault="00986C89" w:rsidP="00605B1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lastRenderedPageBreak/>
        <w:t>Leuchtet Winnicotts technische Empfehlung ein, dass der Patientin gesagt oder erklärt werden sollte, dass das breakdown bereits stattg</w:t>
      </w:r>
      <w:r w:rsidR="005F3660">
        <w:rPr>
          <w:lang w:val="de-CH"/>
        </w:rPr>
        <w:t>efunden habe (has already been)?</w:t>
      </w:r>
      <w:r>
        <w:rPr>
          <w:lang w:val="de-CH"/>
        </w:rPr>
        <w:t xml:space="preserve"> Öffnet diese Intervention nicht Tür und Tor für all die Psychologisierungen, die man in der Praxis häufig sieht, die das falsche Selbst (die „psychotische Organisation“) noch mehr aufbauen und </w:t>
      </w:r>
      <w:r w:rsidR="008C65C1">
        <w:rPr>
          <w:lang w:val="de-CH"/>
        </w:rPr>
        <w:t>in intellektualisierende, nicht-</w:t>
      </w:r>
      <w:r>
        <w:rPr>
          <w:lang w:val="de-CH"/>
        </w:rPr>
        <w:t xml:space="preserve">analytische Nicht-Prozesse münden – ohne Erleben (experience)? Die Patientin sagt dann typischerweise: Meine letzte Therapeutin hat mir gesagt, dass… [dann kommt die Erklärung dafür, warum sie so ist wie sie sei]. </w:t>
      </w:r>
    </w:p>
    <w:p w14:paraId="019012F9" w14:textId="21F622E0" w:rsidR="00986C89" w:rsidRDefault="00986C89" w:rsidP="00605B1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Bedeutung von the unconscious</w:t>
      </w:r>
      <w:r w:rsidR="008F452E">
        <w:rPr>
          <w:lang w:val="de-CH"/>
        </w:rPr>
        <w:t xml:space="preserve"> in der Lesart von Ogden? (S.212)</w:t>
      </w:r>
      <w:r w:rsidR="00161643">
        <w:rPr>
          <w:lang w:val="de-CH"/>
        </w:rPr>
        <w:t xml:space="preserve"> Unterscheidet sich das Unbewusste Winnicotts tatsächlich von demjenigen Freuds, wie Ogden behauptet? </w:t>
      </w:r>
    </w:p>
    <w:p w14:paraId="4FD7B98C" w14:textId="7AA4BE3E" w:rsidR="00161643" w:rsidRDefault="00161643" w:rsidP="00605B1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Welche theoretische Überlegungen bringt Ogden ein, um der häufigen, fragwürdigen Praxis des mother bashings durch die Analytikerin aus technischer Sicht zu korrigieren? (S.210)</w:t>
      </w:r>
    </w:p>
    <w:p w14:paraId="2EBA8656" w14:textId="3C370FD6" w:rsidR="00605B1B" w:rsidRDefault="007A73C7" w:rsidP="00221970">
      <w:pPr>
        <w:numPr>
          <w:ilvl w:val="0"/>
          <w:numId w:val="4"/>
        </w:numPr>
        <w:spacing w:after="120"/>
        <w:rPr>
          <w:lang w:val="de-CH"/>
        </w:rPr>
      </w:pPr>
      <w:r w:rsidRPr="009F3A35">
        <w:rPr>
          <w:lang w:val="de-CH"/>
        </w:rPr>
        <w:t xml:space="preserve">Ist die universalisierende Annahme Ogdens, dass </w:t>
      </w:r>
      <w:r w:rsidRPr="009F3A35">
        <w:rPr>
          <w:i/>
          <w:lang w:val="de-CH"/>
        </w:rPr>
        <w:t>jede</w:t>
      </w:r>
      <w:r w:rsidRPr="009F3A35">
        <w:rPr>
          <w:lang w:val="de-CH"/>
        </w:rPr>
        <w:t xml:space="preserve"> Person (we all) das Verlangen (need) hat, die verlorenen Teile seiner selbst (what he has lost of himself) mit Nachdruck zu suchen und zu beanspruchen (to lay claim…), sprich: die frühe Agonie in der Übertragungs-Gegenübertragungsbeziehung erleben </w:t>
      </w:r>
      <w:r w:rsidRPr="009F3A35">
        <w:rPr>
          <w:i/>
          <w:lang w:val="de-CH"/>
        </w:rPr>
        <w:t>muss</w:t>
      </w:r>
      <w:r w:rsidRPr="009F3A35">
        <w:rPr>
          <w:lang w:val="de-CH"/>
        </w:rPr>
        <w:t xml:space="preserve"> (S.211)? </w:t>
      </w:r>
      <w:r w:rsidR="00F338B7">
        <w:rPr>
          <w:lang w:val="de-CH"/>
        </w:rPr>
        <w:t>Bezug zum Wiederholungszwang?</w:t>
      </w:r>
    </w:p>
    <w:p w14:paraId="7305AFD2" w14:textId="374D2920" w:rsidR="00F338B7" w:rsidRDefault="00F338B7" w:rsidP="00221970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Wann ist jemand – laut Ogden/Winnicott – in der Verfassung von „being alive“ (im Gegensatz zum „unlived life“)? Ist das ein Analyseziel? (215)? </w:t>
      </w:r>
    </w:p>
    <w:p w14:paraId="70A64FB8" w14:textId="1E8B7C81" w:rsidR="00F338B7" w:rsidRDefault="00F338B7" w:rsidP="00221970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Hätten Sie, wie Ogden, auf die Einwände der Patientin (Ms</w:t>
      </w:r>
      <w:r w:rsidR="00552F20">
        <w:rPr>
          <w:lang w:val="de-CH"/>
        </w:rPr>
        <w:t>.</w:t>
      </w:r>
      <w:r>
        <w:rPr>
          <w:lang w:val="de-CH"/>
        </w:rPr>
        <w:t xml:space="preserve"> L.) gehört und weiterhin darauf verzichtet, die Übertragung zu deuten (S.217) – trotz aller Evidenz wie Big S</w:t>
      </w:r>
      <w:r w:rsidRPr="00F338B7">
        <w:rPr>
          <w:b/>
          <w:lang w:val="de-CH"/>
        </w:rPr>
        <w:t>u</w:t>
      </w:r>
      <w:r>
        <w:rPr>
          <w:lang w:val="de-CH"/>
        </w:rPr>
        <w:t>r=Big S</w:t>
      </w:r>
      <w:r w:rsidRPr="00F338B7">
        <w:rPr>
          <w:b/>
          <w:lang w:val="de-CH"/>
        </w:rPr>
        <w:t>i</w:t>
      </w:r>
      <w:r>
        <w:rPr>
          <w:lang w:val="de-CH"/>
        </w:rPr>
        <w:t>r…?</w:t>
      </w:r>
    </w:p>
    <w:p w14:paraId="44C0592C" w14:textId="35CB67ED" w:rsidR="00605B1B" w:rsidRDefault="00F338B7" w:rsidP="00605B1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Was denken Sie über die Rekonstruktion, die Ogden der Patientin anbietet, indem er ihr sagt, dass ihr Nachstellen des Verkäufers das Lebendigste</w:t>
      </w:r>
      <w:r w:rsidR="00552F20">
        <w:rPr>
          <w:lang w:val="de-CH"/>
        </w:rPr>
        <w:t xml:space="preserve"> a</w:t>
      </w:r>
      <w:r>
        <w:rPr>
          <w:lang w:val="de-CH"/>
        </w:rPr>
        <w:t xml:space="preserve">n ihr sei (S.217)? </w:t>
      </w:r>
    </w:p>
    <w:p w14:paraId="6D5FD99F" w14:textId="575EC963" w:rsidR="00F338B7" w:rsidRDefault="00F338B7" w:rsidP="00605B1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Kommen Ihnen selbst Beispiele in den Sinn der Verquickung von Krankheit (p</w:t>
      </w:r>
      <w:r w:rsidR="00552F20">
        <w:rPr>
          <w:lang w:val="de-CH"/>
        </w:rPr>
        <w:t>h</w:t>
      </w:r>
      <w:r>
        <w:rPr>
          <w:lang w:val="de-CH"/>
        </w:rPr>
        <w:t xml:space="preserve">ysical pain, physical illness) und emotional pain? (S.219) </w:t>
      </w:r>
      <w:r w:rsidR="00D65DDF">
        <w:rPr>
          <w:lang w:val="de-CH"/>
        </w:rPr>
        <w:t>Verleitet diese Sichtweise, so einleuchtend sie scheint, nicht zu kurzschlüssiger Psychologisierung – mit noch mehr emotional pain?</w:t>
      </w:r>
    </w:p>
    <w:p w14:paraId="0D533CE7" w14:textId="57080C90" w:rsidR="00D65DDF" w:rsidRPr="00F338B7" w:rsidRDefault="00D65DDF" w:rsidP="00605B1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Was denken Si</w:t>
      </w:r>
      <w:r w:rsidR="005404A8">
        <w:rPr>
          <w:lang w:val="de-CH"/>
        </w:rPr>
        <w:t xml:space="preserve">e über den zweiten Fall (Ms. Z.)? </w:t>
      </w:r>
      <w:r w:rsidR="005404A8">
        <w:rPr>
          <w:lang w:val="de-CH"/>
        </w:rPr>
        <w:t>(</w:t>
      </w:r>
      <w:r w:rsidR="005404A8">
        <w:rPr>
          <w:lang w:val="de-CH"/>
        </w:rPr>
        <w:t>S.219)</w:t>
      </w:r>
      <w:r w:rsidR="005404A8">
        <w:rPr>
          <w:lang w:val="de-CH"/>
        </w:rPr>
        <w:t xml:space="preserve"> </w:t>
      </w:r>
      <w:r>
        <w:rPr>
          <w:lang w:val="de-CH"/>
        </w:rPr>
        <w:t xml:space="preserve">Ogden setzt einen Termin und arbeitet fünf Jahre weiter. Könnte die </w:t>
      </w:r>
      <w:r w:rsidRPr="00D65DDF">
        <w:rPr>
          <w:i/>
          <w:lang w:val="de-CH"/>
        </w:rPr>
        <w:t>Gegen-Übertragung</w:t>
      </w:r>
      <w:r>
        <w:rPr>
          <w:lang w:val="de-CH"/>
        </w:rPr>
        <w:t xml:space="preserve"> </w:t>
      </w:r>
      <w:r w:rsidR="005404A8">
        <w:rPr>
          <w:lang w:val="de-CH"/>
        </w:rPr>
        <w:t>(Übertragung des Analytikers auf Ms.</w:t>
      </w:r>
      <w:r w:rsidR="009C5553">
        <w:rPr>
          <w:lang w:val="de-CH"/>
        </w:rPr>
        <w:t xml:space="preserve"> </w:t>
      </w:r>
      <w:r w:rsidR="005404A8">
        <w:rPr>
          <w:lang w:val="de-CH"/>
        </w:rPr>
        <w:t>Z.) nicht eine wichtige Rolle gespielt haben? Sie wird nämli</w:t>
      </w:r>
      <w:r w:rsidR="009C5553">
        <w:rPr>
          <w:lang w:val="de-CH"/>
        </w:rPr>
        <w:t>ch nicht diskutiert</w:t>
      </w:r>
      <w:r w:rsidR="008C65C1">
        <w:rPr>
          <w:lang w:val="de-CH"/>
        </w:rPr>
        <w:t>.</w:t>
      </w:r>
      <w:r w:rsidR="005404A8">
        <w:rPr>
          <w:lang w:val="de-CH"/>
        </w:rPr>
        <w:t xml:space="preserve"> (unlived experience</w:t>
      </w:r>
      <w:r w:rsidR="009C5553">
        <w:rPr>
          <w:lang w:val="de-CH"/>
        </w:rPr>
        <w:t>?</w:t>
      </w:r>
      <w:r w:rsidR="005404A8">
        <w:rPr>
          <w:lang w:val="de-CH"/>
        </w:rPr>
        <w:t>)</w:t>
      </w:r>
    </w:p>
    <w:p w14:paraId="2229D536" w14:textId="77777777" w:rsidR="00605B1B" w:rsidRDefault="00605B1B" w:rsidP="00605B1B">
      <w:pPr>
        <w:spacing w:after="120"/>
        <w:rPr>
          <w:lang w:val="de-CH"/>
        </w:rPr>
      </w:pPr>
    </w:p>
    <w:p w14:paraId="39E5457F" w14:textId="77777777" w:rsidR="00605B1B" w:rsidRDefault="00605B1B" w:rsidP="00605B1B">
      <w:pPr>
        <w:spacing w:after="120"/>
        <w:rPr>
          <w:lang w:val="de-CH"/>
        </w:rPr>
      </w:pPr>
    </w:p>
    <w:p w14:paraId="2BA7DA8D" w14:textId="77777777" w:rsidR="00605B1B" w:rsidRPr="00605B1B" w:rsidRDefault="00605B1B" w:rsidP="00605B1B">
      <w:pPr>
        <w:spacing w:after="120"/>
        <w:rPr>
          <w:lang w:val="de-CH"/>
        </w:rPr>
      </w:pPr>
    </w:p>
    <w:p w14:paraId="56DAD3D9" w14:textId="0882DCB0" w:rsidR="00D93A8C" w:rsidRDefault="00492DB8" w:rsidP="00D93A8C">
      <w:pPr>
        <w:spacing w:after="120"/>
      </w:pPr>
      <w:r>
        <w:t xml:space="preserve">CMdL, </w:t>
      </w:r>
      <w:r w:rsidR="008E5D75">
        <w:t>Oktober</w:t>
      </w:r>
      <w:r w:rsidR="00FA54D9">
        <w:t xml:space="preserve"> 2018</w:t>
      </w:r>
      <w:r w:rsidR="00D93A8C">
        <w:br/>
      </w:r>
      <w:hyperlink r:id="rId5" w:history="1">
        <w:r w:rsidR="001924E0" w:rsidRPr="00B15522">
          <w:rPr>
            <w:rStyle w:val="Link"/>
          </w:rPr>
          <w:t>www.fvabz.ch</w:t>
        </w:r>
      </w:hyperlink>
      <w:r w:rsidR="001924E0">
        <w:t xml:space="preserve"> oder cmdl.ch</w:t>
      </w:r>
    </w:p>
    <w:sectPr w:rsidR="00D93A8C" w:rsidSect="00A30D14"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7E58BF"/>
    <w:multiLevelType w:val="hybridMultilevel"/>
    <w:tmpl w:val="F21A92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de-DE" w:vendorID="64" w:dllVersion="131078" w:nlCheck="1" w:checkStyle="0"/>
  <w:activeWritingStyle w:appName="MSWord" w:lang="de-CH" w:vendorID="64" w:dllVersion="131078" w:nlCheck="1" w:checkStyle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A"/>
    <w:rsid w:val="000774A6"/>
    <w:rsid w:val="000B4E93"/>
    <w:rsid w:val="000C1B00"/>
    <w:rsid w:val="000C7B11"/>
    <w:rsid w:val="000E4F13"/>
    <w:rsid w:val="000F42C4"/>
    <w:rsid w:val="00112F0C"/>
    <w:rsid w:val="001445C6"/>
    <w:rsid w:val="00145232"/>
    <w:rsid w:val="00152FBB"/>
    <w:rsid w:val="00161643"/>
    <w:rsid w:val="00167C69"/>
    <w:rsid w:val="00181BA5"/>
    <w:rsid w:val="001924E0"/>
    <w:rsid w:val="001A6B5D"/>
    <w:rsid w:val="001B4B07"/>
    <w:rsid w:val="001C2358"/>
    <w:rsid w:val="001C7914"/>
    <w:rsid w:val="001D01F8"/>
    <w:rsid w:val="00213399"/>
    <w:rsid w:val="00227E29"/>
    <w:rsid w:val="00237076"/>
    <w:rsid w:val="002454EC"/>
    <w:rsid w:val="00252334"/>
    <w:rsid w:val="002525C5"/>
    <w:rsid w:val="002B56A6"/>
    <w:rsid w:val="002C4884"/>
    <w:rsid w:val="002F24F8"/>
    <w:rsid w:val="00300911"/>
    <w:rsid w:val="00336857"/>
    <w:rsid w:val="00341DAE"/>
    <w:rsid w:val="0034684B"/>
    <w:rsid w:val="003942C2"/>
    <w:rsid w:val="003C3775"/>
    <w:rsid w:val="004000A1"/>
    <w:rsid w:val="0040270F"/>
    <w:rsid w:val="00403162"/>
    <w:rsid w:val="00410138"/>
    <w:rsid w:val="004208B2"/>
    <w:rsid w:val="004321CA"/>
    <w:rsid w:val="00473592"/>
    <w:rsid w:val="00485156"/>
    <w:rsid w:val="00492DB8"/>
    <w:rsid w:val="005201AE"/>
    <w:rsid w:val="00535F8C"/>
    <w:rsid w:val="005404A8"/>
    <w:rsid w:val="00552F20"/>
    <w:rsid w:val="00553ACB"/>
    <w:rsid w:val="00577B06"/>
    <w:rsid w:val="00591D2C"/>
    <w:rsid w:val="005B32E1"/>
    <w:rsid w:val="005E1F02"/>
    <w:rsid w:val="005F0613"/>
    <w:rsid w:val="005F3660"/>
    <w:rsid w:val="00605B1B"/>
    <w:rsid w:val="00615D90"/>
    <w:rsid w:val="0062072D"/>
    <w:rsid w:val="00644D92"/>
    <w:rsid w:val="00645DCB"/>
    <w:rsid w:val="00653176"/>
    <w:rsid w:val="00682481"/>
    <w:rsid w:val="00682FD8"/>
    <w:rsid w:val="00685F98"/>
    <w:rsid w:val="006B6795"/>
    <w:rsid w:val="006D2710"/>
    <w:rsid w:val="006D430F"/>
    <w:rsid w:val="006F3BF7"/>
    <w:rsid w:val="006F64D4"/>
    <w:rsid w:val="0072098D"/>
    <w:rsid w:val="00727B19"/>
    <w:rsid w:val="00733EA0"/>
    <w:rsid w:val="00736D06"/>
    <w:rsid w:val="00772D14"/>
    <w:rsid w:val="00774DDE"/>
    <w:rsid w:val="007A0B0C"/>
    <w:rsid w:val="007A73C7"/>
    <w:rsid w:val="007B25D5"/>
    <w:rsid w:val="007F7F88"/>
    <w:rsid w:val="00814C4D"/>
    <w:rsid w:val="00825087"/>
    <w:rsid w:val="008273DE"/>
    <w:rsid w:val="008404FC"/>
    <w:rsid w:val="00843B12"/>
    <w:rsid w:val="008925DB"/>
    <w:rsid w:val="008A30E0"/>
    <w:rsid w:val="008B3F08"/>
    <w:rsid w:val="008C65C1"/>
    <w:rsid w:val="008D7010"/>
    <w:rsid w:val="008E5D75"/>
    <w:rsid w:val="008F34FC"/>
    <w:rsid w:val="008F452E"/>
    <w:rsid w:val="00901FDD"/>
    <w:rsid w:val="009169A9"/>
    <w:rsid w:val="00947B33"/>
    <w:rsid w:val="00952D61"/>
    <w:rsid w:val="00986C89"/>
    <w:rsid w:val="009B451F"/>
    <w:rsid w:val="009C5553"/>
    <w:rsid w:val="009D3BCF"/>
    <w:rsid w:val="009F3A35"/>
    <w:rsid w:val="009F7394"/>
    <w:rsid w:val="00A015C7"/>
    <w:rsid w:val="00A14430"/>
    <w:rsid w:val="00A30D14"/>
    <w:rsid w:val="00A32BCB"/>
    <w:rsid w:val="00A32C2A"/>
    <w:rsid w:val="00A45E4F"/>
    <w:rsid w:val="00A577AD"/>
    <w:rsid w:val="00A7661B"/>
    <w:rsid w:val="00A776F0"/>
    <w:rsid w:val="00A81388"/>
    <w:rsid w:val="00AB2874"/>
    <w:rsid w:val="00AB6405"/>
    <w:rsid w:val="00AB69A6"/>
    <w:rsid w:val="00AE5C50"/>
    <w:rsid w:val="00B044C8"/>
    <w:rsid w:val="00B623F8"/>
    <w:rsid w:val="00B76E5E"/>
    <w:rsid w:val="00B9766C"/>
    <w:rsid w:val="00BC1860"/>
    <w:rsid w:val="00BC4EA1"/>
    <w:rsid w:val="00BD7578"/>
    <w:rsid w:val="00BE63EF"/>
    <w:rsid w:val="00C12CEF"/>
    <w:rsid w:val="00C34907"/>
    <w:rsid w:val="00C619DE"/>
    <w:rsid w:val="00C62CBD"/>
    <w:rsid w:val="00C660CC"/>
    <w:rsid w:val="00C84734"/>
    <w:rsid w:val="00C97299"/>
    <w:rsid w:val="00CE3D9C"/>
    <w:rsid w:val="00CE5B51"/>
    <w:rsid w:val="00D07843"/>
    <w:rsid w:val="00D10C20"/>
    <w:rsid w:val="00D364FF"/>
    <w:rsid w:val="00D61F5F"/>
    <w:rsid w:val="00D6584D"/>
    <w:rsid w:val="00D65DDF"/>
    <w:rsid w:val="00D93A8C"/>
    <w:rsid w:val="00DB0075"/>
    <w:rsid w:val="00DE65DA"/>
    <w:rsid w:val="00DE7A41"/>
    <w:rsid w:val="00E336C3"/>
    <w:rsid w:val="00E64DD2"/>
    <w:rsid w:val="00E74A4E"/>
    <w:rsid w:val="00E9121E"/>
    <w:rsid w:val="00EA307D"/>
    <w:rsid w:val="00EC52AD"/>
    <w:rsid w:val="00EF6F3B"/>
    <w:rsid w:val="00F227F0"/>
    <w:rsid w:val="00F338B7"/>
    <w:rsid w:val="00F4772B"/>
    <w:rsid w:val="00F47ED0"/>
    <w:rsid w:val="00F95BF6"/>
    <w:rsid w:val="00FA3A79"/>
    <w:rsid w:val="00FA54D9"/>
    <w:rsid w:val="00FE2A93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EAB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Link">
    <w:name w:val="Hyperlink"/>
    <w:uiPriority w:val="99"/>
    <w:unhideWhenUsed/>
    <w:rsid w:val="00192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vabz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4444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5139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Charles Mendes de Leon</cp:lastModifiedBy>
  <cp:revision>16</cp:revision>
  <cp:lastPrinted>2018-10-21T17:43:00Z</cp:lastPrinted>
  <dcterms:created xsi:type="dcterms:W3CDTF">2018-10-20T15:28:00Z</dcterms:created>
  <dcterms:modified xsi:type="dcterms:W3CDTF">2018-10-23T14:15:00Z</dcterms:modified>
</cp:coreProperties>
</file>