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42815EB4" w:rsidR="00A32BCB" w:rsidRDefault="00F12356">
      <w:pPr>
        <w:widowControl w:val="0"/>
      </w:pPr>
      <w:r>
        <w:t>Winter</w:t>
      </w:r>
      <w:r w:rsidR="005D104B">
        <w:t xml:space="preserve"> 20</w:t>
      </w:r>
      <w:r w:rsidR="00E1079A">
        <w:t>20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686A0C49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C210A5">
        <w:rPr>
          <w:b/>
        </w:rPr>
        <w:t>Elisabeth Loibners Artikel „Zur Vertiefung der Übertragung im einstündigen Setting“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26A1BE28" w14:textId="7FC58C3B" w:rsidR="006001BF" w:rsidRDefault="00C210A5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Stehen die zeitlichen und finanziellen „Opfer“, die für eine hochfrequente Analyse und eine IPA-Ausbildung zu erbringen sind, in einem vertretbaren Verhältnis zu den postulierten Resultaten? (Fn S.39) Wie mag es für die Autorin ausgesehen haben, die das „Opfer“ in ihrer Fussnote unterstreicht? </w:t>
      </w:r>
    </w:p>
    <w:p w14:paraId="044936D9" w14:textId="64DEE9FE" w:rsidR="00437E8F" w:rsidRDefault="00437E8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halten Sie vom beschriebenen Wiener Modell (Fn S.39), das die psychoanalytische und die psychodynamische Ausbildung vereint? (Im FIZ läuft das getrennt.)</w:t>
      </w:r>
    </w:p>
    <w:p w14:paraId="7D75242F" w14:textId="5413C291" w:rsidR="00437E8F" w:rsidRDefault="00437E8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Loibner schreibt, dass sie meistens erleichtert sei, wenn sie eine zweite Stunde zur Verfügung habe. „Meistens“ ist nun aber nicht „immer“</w:t>
      </w:r>
      <w:r w:rsidR="00603C45">
        <w:rPr>
          <w:lang w:val="de-CH"/>
        </w:rPr>
        <w:t>. W</w:t>
      </w:r>
      <w:r>
        <w:rPr>
          <w:lang w:val="de-CH"/>
        </w:rPr>
        <w:t>arum</w:t>
      </w:r>
      <w:r w:rsidR="00603C45">
        <w:rPr>
          <w:lang w:val="de-CH"/>
        </w:rPr>
        <w:t xml:space="preserve"> meistens und nicht immer</w:t>
      </w:r>
      <w:r>
        <w:rPr>
          <w:lang w:val="de-CH"/>
        </w:rPr>
        <w:t xml:space="preserve">? Und wie sieht es in Ihrer Erfahrung aus? </w:t>
      </w:r>
    </w:p>
    <w:p w14:paraId="30595EBE" w14:textId="1322F92C" w:rsidR="00437E8F" w:rsidRDefault="00437E8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Welche Bedeutung hat Ihrer Ansicht nach die CH-Kassen-Regelung, also das Geld, für die Frequenz bzw. die „Anordnung“ (Roussillon)?</w:t>
      </w:r>
    </w:p>
    <w:p w14:paraId="34D29AE4" w14:textId="77777777" w:rsidR="007813A9" w:rsidRDefault="00437E8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Verfügt die Therapeutin über die Reichweite, die Übertragung zu vertiefen oder zu verdünnen</w:t>
      </w:r>
      <w:r w:rsidR="007813A9">
        <w:rPr>
          <w:lang w:val="de-CH"/>
        </w:rPr>
        <w:t>? (S.27)</w:t>
      </w:r>
    </w:p>
    <w:p w14:paraId="4D5C1845" w14:textId="77777777" w:rsidR="007813A9" w:rsidRDefault="007813A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Wie nützlich ist die Haltung Ogdens, den wir im Kolloquium mehrmals diskutiert haben, für die niederfrequente Behandlung?</w:t>
      </w:r>
    </w:p>
    <w:p w14:paraId="55B68FED" w14:textId="77777777" w:rsidR="007813A9" w:rsidRDefault="007813A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Was bedeutet eigentlich das emphatische „emotionale sich Verankern im Raum“? Wie würden Sie das in eigenen Worten oder anderen Fachbegriffen ausdrücken? S.28</w:t>
      </w:r>
    </w:p>
    <w:p w14:paraId="6F718CC8" w14:textId="281F9E16" w:rsidR="007813A9" w:rsidRDefault="007813A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Die Autorin diskutiert das Material nur insoweit, „als es in Bezug auf meine Überlegungen relevant erscheint“</w:t>
      </w:r>
      <w:r w:rsidR="00AF5738">
        <w:rPr>
          <w:lang w:val="de-CH"/>
        </w:rPr>
        <w:t xml:space="preserve">. </w:t>
      </w:r>
      <w:r>
        <w:rPr>
          <w:lang w:val="de-CH"/>
        </w:rPr>
        <w:t xml:space="preserve">Fast jeder Autor geht so vor. Wo liegt die Crux dieser Methodik, also der Schwachpunkt? S.29 </w:t>
      </w:r>
    </w:p>
    <w:p w14:paraId="1F6B184B" w14:textId="77777777" w:rsidR="007813A9" w:rsidRDefault="007813A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Was ist Ihnen zum Erstinterview mit Jana eingefallen? S.29 Hätten Sie Jana in psychoanalytische Therapie genommen? Hätte Jana von einem Mann behandelt werden können? </w:t>
      </w:r>
    </w:p>
    <w:p w14:paraId="6FCAFC18" w14:textId="77777777" w:rsidR="007813A9" w:rsidRDefault="007813A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Lange, komplizierte Sätze des Therapeuten könnten von einer Patientin mit kognitiver Einschränkung nicht aufgenommen werden (S.32). Ist die Situation für intellektuell normal- oder hochbegabte Patientinnen anders? </w:t>
      </w:r>
    </w:p>
    <w:p w14:paraId="0AD342E5" w14:textId="77777777" w:rsidR="007813A9" w:rsidRDefault="007813A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Sind Sie mit der zitierten Technik John Steiners einverstanden (S.33)? Wie handhaben Sie selbst projektive Erlebnisweisen? </w:t>
      </w:r>
    </w:p>
    <w:p w14:paraId="664EBA50" w14:textId="77777777" w:rsidR="007813A9" w:rsidRDefault="007813A9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Arbeiten Sie in einem niederfrequenten Setting anders als in einem hochfrequenten (S.39)? (vgl. Taylor)</w:t>
      </w:r>
    </w:p>
    <w:p w14:paraId="4AC06552" w14:textId="77777777" w:rsidR="00072B00" w:rsidRDefault="00072B0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Eine therapeutische Regression verhindern zu wollen, sei sinnlos, meint die Autorin. Warum? Hat sie recht? </w:t>
      </w:r>
    </w:p>
    <w:p w14:paraId="01A31C3E" w14:textId="43EB23BD" w:rsidR="00136829" w:rsidRDefault="00072B00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lastRenderedPageBreak/>
        <w:t>Wie unterscheidet sich das Metaphorische vom Konzeptuellen? (S.34)</w:t>
      </w:r>
      <w:r w:rsidR="0021734A">
        <w:rPr>
          <w:lang w:val="de-CH"/>
        </w:rPr>
        <w:br/>
      </w:r>
      <w:r w:rsidR="0021734A">
        <w:rPr>
          <w:lang w:val="de-CH"/>
        </w:rPr>
        <w:br/>
      </w:r>
      <w:r w:rsidR="0021734A">
        <w:rPr>
          <w:lang w:val="de-CH"/>
        </w:rPr>
        <w:br/>
      </w:r>
      <w:r w:rsidR="0021734A">
        <w:rPr>
          <w:lang w:val="de-CH"/>
        </w:rPr>
        <w:br/>
      </w:r>
      <w:r w:rsidR="00334D03">
        <w:rPr>
          <w:lang w:val="de-CH"/>
        </w:rPr>
        <w:br/>
      </w:r>
      <w:r w:rsidR="00334D03">
        <w:rPr>
          <w:lang w:val="de-CH"/>
        </w:rPr>
        <w:br/>
        <w:t>CMdL</w:t>
      </w:r>
      <w:r w:rsidR="00A627F7">
        <w:rPr>
          <w:lang w:val="de-CH"/>
        </w:rPr>
        <w:t>,</w:t>
      </w:r>
      <w:r w:rsidR="00334D03">
        <w:rPr>
          <w:lang w:val="de-CH"/>
        </w:rPr>
        <w:t xml:space="preserve"> </w:t>
      </w:r>
      <w:r w:rsidR="007813A9">
        <w:rPr>
          <w:lang w:val="de-CH"/>
        </w:rPr>
        <w:t>Februar</w:t>
      </w:r>
      <w:r w:rsidR="00334D03">
        <w:rPr>
          <w:lang w:val="de-CH"/>
        </w:rPr>
        <w:t xml:space="preserve"> 2020</w:t>
      </w:r>
      <w:bookmarkStart w:id="0" w:name="_GoBack"/>
      <w:bookmarkEnd w:id="0"/>
    </w:p>
    <w:p w14:paraId="08FFFB59" w14:textId="60F8C9E3" w:rsidR="00193085" w:rsidRPr="00334D03" w:rsidRDefault="00193085" w:rsidP="0079791D">
      <w:pPr>
        <w:rPr>
          <w:lang w:val="de-CH"/>
        </w:rPr>
      </w:pPr>
    </w:p>
    <w:sectPr w:rsidR="00193085" w:rsidRPr="00334D03" w:rsidSect="00A30D14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A9927" w14:textId="77777777" w:rsidR="001645A6" w:rsidRDefault="001645A6" w:rsidP="001C17E0">
      <w:r>
        <w:separator/>
      </w:r>
    </w:p>
  </w:endnote>
  <w:endnote w:type="continuationSeparator" w:id="0">
    <w:p w14:paraId="51702CC3" w14:textId="77777777" w:rsidR="001645A6" w:rsidRDefault="001645A6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738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860FF" w14:textId="77777777" w:rsidR="001645A6" w:rsidRDefault="001645A6" w:rsidP="001C17E0">
      <w:r>
        <w:separator/>
      </w:r>
    </w:p>
  </w:footnote>
  <w:footnote w:type="continuationSeparator" w:id="0">
    <w:p w14:paraId="526D8A23" w14:textId="77777777" w:rsidR="001645A6" w:rsidRDefault="001645A6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50865"/>
    <w:rsid w:val="00053E9F"/>
    <w:rsid w:val="0006011A"/>
    <w:rsid w:val="00072B00"/>
    <w:rsid w:val="000774A6"/>
    <w:rsid w:val="00097BCE"/>
    <w:rsid w:val="000A7D53"/>
    <w:rsid w:val="000B4E93"/>
    <w:rsid w:val="000C7B11"/>
    <w:rsid w:val="000E4F13"/>
    <w:rsid w:val="000E5E05"/>
    <w:rsid w:val="000F580C"/>
    <w:rsid w:val="0010790F"/>
    <w:rsid w:val="00112F0C"/>
    <w:rsid w:val="00136829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4B07"/>
    <w:rsid w:val="001C17E0"/>
    <w:rsid w:val="001C2358"/>
    <w:rsid w:val="001C7914"/>
    <w:rsid w:val="001D01F8"/>
    <w:rsid w:val="001D65B9"/>
    <w:rsid w:val="00203B8F"/>
    <w:rsid w:val="00213399"/>
    <w:rsid w:val="0021734A"/>
    <w:rsid w:val="00226685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95995"/>
    <w:rsid w:val="00296E4F"/>
    <w:rsid w:val="00297599"/>
    <w:rsid w:val="002A2676"/>
    <w:rsid w:val="002B56A6"/>
    <w:rsid w:val="002C4884"/>
    <w:rsid w:val="002F24F8"/>
    <w:rsid w:val="00300911"/>
    <w:rsid w:val="00323B25"/>
    <w:rsid w:val="00334D03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A01A1"/>
    <w:rsid w:val="003B519C"/>
    <w:rsid w:val="003C3775"/>
    <w:rsid w:val="003D4CD2"/>
    <w:rsid w:val="003E7EFD"/>
    <w:rsid w:val="003F2F52"/>
    <w:rsid w:val="004000A1"/>
    <w:rsid w:val="00403162"/>
    <w:rsid w:val="00410138"/>
    <w:rsid w:val="00413365"/>
    <w:rsid w:val="004208B2"/>
    <w:rsid w:val="004321CA"/>
    <w:rsid w:val="00437E8F"/>
    <w:rsid w:val="00452E54"/>
    <w:rsid w:val="00467F71"/>
    <w:rsid w:val="00473592"/>
    <w:rsid w:val="004814EF"/>
    <w:rsid w:val="00485156"/>
    <w:rsid w:val="00486DE4"/>
    <w:rsid w:val="00490BBC"/>
    <w:rsid w:val="00492DB8"/>
    <w:rsid w:val="004A2151"/>
    <w:rsid w:val="004B5872"/>
    <w:rsid w:val="004F7F9A"/>
    <w:rsid w:val="00504EF9"/>
    <w:rsid w:val="005060B7"/>
    <w:rsid w:val="005145A4"/>
    <w:rsid w:val="005201AE"/>
    <w:rsid w:val="005205E4"/>
    <w:rsid w:val="00523771"/>
    <w:rsid w:val="005366C7"/>
    <w:rsid w:val="00547BB5"/>
    <w:rsid w:val="0055188A"/>
    <w:rsid w:val="00553ACB"/>
    <w:rsid w:val="0055528F"/>
    <w:rsid w:val="0056656D"/>
    <w:rsid w:val="00566ED9"/>
    <w:rsid w:val="0057164D"/>
    <w:rsid w:val="00577B06"/>
    <w:rsid w:val="00591D2C"/>
    <w:rsid w:val="005942D6"/>
    <w:rsid w:val="005B32E1"/>
    <w:rsid w:val="005D104B"/>
    <w:rsid w:val="005E1F02"/>
    <w:rsid w:val="005E74AD"/>
    <w:rsid w:val="005F0613"/>
    <w:rsid w:val="006001BF"/>
    <w:rsid w:val="00601EA4"/>
    <w:rsid w:val="00603C45"/>
    <w:rsid w:val="00615B12"/>
    <w:rsid w:val="00615D90"/>
    <w:rsid w:val="00617F35"/>
    <w:rsid w:val="0062072D"/>
    <w:rsid w:val="00641EF6"/>
    <w:rsid w:val="00644D92"/>
    <w:rsid w:val="00653176"/>
    <w:rsid w:val="00682481"/>
    <w:rsid w:val="00682FD8"/>
    <w:rsid w:val="00685F98"/>
    <w:rsid w:val="006B6795"/>
    <w:rsid w:val="006D2710"/>
    <w:rsid w:val="006D430F"/>
    <w:rsid w:val="006E4DAF"/>
    <w:rsid w:val="006F3BF7"/>
    <w:rsid w:val="006F64D4"/>
    <w:rsid w:val="0072098D"/>
    <w:rsid w:val="00722131"/>
    <w:rsid w:val="00722BA3"/>
    <w:rsid w:val="00727B19"/>
    <w:rsid w:val="00733EA0"/>
    <w:rsid w:val="00736D06"/>
    <w:rsid w:val="007443D5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D5328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70278"/>
    <w:rsid w:val="0089224F"/>
    <w:rsid w:val="008925DB"/>
    <w:rsid w:val="008A30E0"/>
    <w:rsid w:val="008B3F08"/>
    <w:rsid w:val="008B40F5"/>
    <w:rsid w:val="008B67B1"/>
    <w:rsid w:val="008C3DDE"/>
    <w:rsid w:val="008D1966"/>
    <w:rsid w:val="008E3110"/>
    <w:rsid w:val="008E4F91"/>
    <w:rsid w:val="008E5D75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5E4F"/>
    <w:rsid w:val="00A5014D"/>
    <w:rsid w:val="00A56120"/>
    <w:rsid w:val="00A577AD"/>
    <w:rsid w:val="00A627F7"/>
    <w:rsid w:val="00A6683F"/>
    <w:rsid w:val="00A7661B"/>
    <w:rsid w:val="00A776F0"/>
    <w:rsid w:val="00A81388"/>
    <w:rsid w:val="00A87373"/>
    <w:rsid w:val="00AA35D2"/>
    <w:rsid w:val="00AB2874"/>
    <w:rsid w:val="00AB5334"/>
    <w:rsid w:val="00AB6405"/>
    <w:rsid w:val="00AB69A6"/>
    <w:rsid w:val="00AC689E"/>
    <w:rsid w:val="00AD2006"/>
    <w:rsid w:val="00AE5C50"/>
    <w:rsid w:val="00AF5738"/>
    <w:rsid w:val="00B044C8"/>
    <w:rsid w:val="00B623F8"/>
    <w:rsid w:val="00B76E5E"/>
    <w:rsid w:val="00B8162B"/>
    <w:rsid w:val="00B9766C"/>
    <w:rsid w:val="00BC1860"/>
    <w:rsid w:val="00BC4EA1"/>
    <w:rsid w:val="00BC7433"/>
    <w:rsid w:val="00BD1DA5"/>
    <w:rsid w:val="00BD7578"/>
    <w:rsid w:val="00BE63EF"/>
    <w:rsid w:val="00C12CEF"/>
    <w:rsid w:val="00C1553C"/>
    <w:rsid w:val="00C210A5"/>
    <w:rsid w:val="00C30C97"/>
    <w:rsid w:val="00C34907"/>
    <w:rsid w:val="00C439CC"/>
    <w:rsid w:val="00C619DE"/>
    <w:rsid w:val="00C62CBD"/>
    <w:rsid w:val="00C63673"/>
    <w:rsid w:val="00C660CC"/>
    <w:rsid w:val="00C734B4"/>
    <w:rsid w:val="00C7544A"/>
    <w:rsid w:val="00C826CC"/>
    <w:rsid w:val="00C84734"/>
    <w:rsid w:val="00C97299"/>
    <w:rsid w:val="00CA060B"/>
    <w:rsid w:val="00CA1A91"/>
    <w:rsid w:val="00CE3D9C"/>
    <w:rsid w:val="00CE5B51"/>
    <w:rsid w:val="00D07843"/>
    <w:rsid w:val="00D10C20"/>
    <w:rsid w:val="00D25193"/>
    <w:rsid w:val="00D25821"/>
    <w:rsid w:val="00D364FF"/>
    <w:rsid w:val="00D434CF"/>
    <w:rsid w:val="00D61F5F"/>
    <w:rsid w:val="00D6584D"/>
    <w:rsid w:val="00D84D5B"/>
    <w:rsid w:val="00D93A8C"/>
    <w:rsid w:val="00DB0075"/>
    <w:rsid w:val="00DD1A77"/>
    <w:rsid w:val="00DE65DA"/>
    <w:rsid w:val="00DE7A41"/>
    <w:rsid w:val="00E1079A"/>
    <w:rsid w:val="00E22820"/>
    <w:rsid w:val="00E2295B"/>
    <w:rsid w:val="00E313C1"/>
    <w:rsid w:val="00E336C3"/>
    <w:rsid w:val="00E64DD2"/>
    <w:rsid w:val="00E72C79"/>
    <w:rsid w:val="00E74A4E"/>
    <w:rsid w:val="00E86DA8"/>
    <w:rsid w:val="00E9121E"/>
    <w:rsid w:val="00EA307D"/>
    <w:rsid w:val="00EC52AD"/>
    <w:rsid w:val="00EE1237"/>
    <w:rsid w:val="00EF6F3B"/>
    <w:rsid w:val="00F04171"/>
    <w:rsid w:val="00F12356"/>
    <w:rsid w:val="00F227F0"/>
    <w:rsid w:val="00F277A1"/>
    <w:rsid w:val="00F47ED0"/>
    <w:rsid w:val="00F66FEE"/>
    <w:rsid w:val="00F83243"/>
    <w:rsid w:val="00F95BF6"/>
    <w:rsid w:val="00FA3A79"/>
    <w:rsid w:val="00FA54D9"/>
    <w:rsid w:val="00FC4CCF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2804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5</cp:revision>
  <cp:lastPrinted>2019-08-18T12:19:00Z</cp:lastPrinted>
  <dcterms:created xsi:type="dcterms:W3CDTF">2020-02-27T13:26:00Z</dcterms:created>
  <dcterms:modified xsi:type="dcterms:W3CDTF">2020-02-27T13:48:00Z</dcterms:modified>
</cp:coreProperties>
</file>