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6FC3AAD2" w:rsidR="00A32BCB" w:rsidRDefault="005A7417">
      <w:pPr>
        <w:widowControl w:val="0"/>
      </w:pPr>
      <w:r>
        <w:t xml:space="preserve">Sommer </w:t>
      </w:r>
      <w:r w:rsidR="00E37C7B">
        <w:t>20</w:t>
      </w:r>
      <w:r w:rsidR="00B577A1">
        <w:t>21</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0B4F541A" w:rsidR="00A32BCB" w:rsidRDefault="00BC4EA1">
      <w:pPr>
        <w:rPr>
          <w:b/>
        </w:rPr>
      </w:pPr>
      <w:r>
        <w:rPr>
          <w:b/>
        </w:rPr>
        <w:t>Inputfragen für die Diskussion über</w:t>
      </w:r>
      <w:r w:rsidR="001445C6">
        <w:rPr>
          <w:b/>
        </w:rPr>
        <w:t xml:space="preserve"> </w:t>
      </w:r>
      <w:r w:rsidR="00C93EB2">
        <w:rPr>
          <w:b/>
        </w:rPr>
        <w:t xml:space="preserve">G. Gabbards </w:t>
      </w:r>
      <w:r w:rsidR="00AA3384">
        <w:rPr>
          <w:b/>
        </w:rPr>
        <w:t xml:space="preserve"> </w:t>
      </w:r>
      <w:r w:rsidR="005C221E">
        <w:rPr>
          <w:b/>
        </w:rPr>
        <w:t>Artikel „</w:t>
      </w:r>
      <w:r w:rsidR="00C93EB2">
        <w:rPr>
          <w:b/>
        </w:rPr>
        <w:t>Die Drachen der Urzeit. Die Beendigung der Analyse und die Beharrlichkeit des Infantilen</w:t>
      </w:r>
      <w:r w:rsidR="005C221E">
        <w:rPr>
          <w:b/>
        </w:rPr>
        <w:t>“ (</w:t>
      </w:r>
      <w:r w:rsidR="00C93EB2">
        <w:rPr>
          <w:b/>
        </w:rPr>
        <w:t xml:space="preserve">ZpTP 2, </w:t>
      </w:r>
      <w:r w:rsidR="005C221E">
        <w:rPr>
          <w:b/>
        </w:rPr>
        <w:t>2021)</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p w14:paraId="45B1797B" w14:textId="77777777" w:rsidR="00483BD6" w:rsidRPr="00483BD6" w:rsidRDefault="00483BD6" w:rsidP="00483BD6">
      <w:pPr>
        <w:rPr>
          <w:b/>
          <w:lang w:val="de-CH"/>
        </w:rPr>
      </w:pPr>
    </w:p>
    <w:p w14:paraId="453403FC" w14:textId="0C9C3AD9" w:rsidR="00AA3384" w:rsidRDefault="00C93EB2" w:rsidP="00B577A1">
      <w:pPr>
        <w:pStyle w:val="Listenabsatz"/>
        <w:numPr>
          <w:ilvl w:val="0"/>
          <w:numId w:val="8"/>
        </w:numPr>
        <w:spacing w:after="120"/>
        <w:ind w:left="641" w:hanging="357"/>
        <w:contextualSpacing w:val="0"/>
        <w:rPr>
          <w:lang w:val="de-CH"/>
        </w:rPr>
      </w:pPr>
      <w:r>
        <w:rPr>
          <w:lang w:val="de-CH"/>
        </w:rPr>
        <w:t>Gabbards Artikel bezieht sich auf die Beendigung der Analyse. Kennen Sie andere Publikationen zu diesem Thema, die für Ihre klinische Arbeit von Bedeutung sind?</w:t>
      </w:r>
    </w:p>
    <w:p w14:paraId="608A5E3D" w14:textId="4C603ED1" w:rsidR="00C93EB2" w:rsidRDefault="00C93EB2" w:rsidP="00B577A1">
      <w:pPr>
        <w:pStyle w:val="Listenabsatz"/>
        <w:numPr>
          <w:ilvl w:val="0"/>
          <w:numId w:val="8"/>
        </w:numPr>
        <w:spacing w:after="120"/>
        <w:ind w:left="641" w:hanging="357"/>
        <w:contextualSpacing w:val="0"/>
        <w:rPr>
          <w:lang w:val="de-CH"/>
        </w:rPr>
      </w:pPr>
      <w:r>
        <w:rPr>
          <w:lang w:val="de-CH"/>
        </w:rPr>
        <w:t xml:space="preserve">Wie stehen Sie selbst zum Phänomen langer oder sehr langer Analysen (mehr als acht Jahre)? </w:t>
      </w:r>
    </w:p>
    <w:p w14:paraId="374E27F9" w14:textId="0D273DE0" w:rsidR="00C93EB2" w:rsidRDefault="00C93EB2" w:rsidP="00B577A1">
      <w:pPr>
        <w:pStyle w:val="Listenabsatz"/>
        <w:numPr>
          <w:ilvl w:val="0"/>
          <w:numId w:val="8"/>
        </w:numPr>
        <w:spacing w:after="120"/>
        <w:ind w:left="641" w:hanging="357"/>
        <w:contextualSpacing w:val="0"/>
        <w:rPr>
          <w:lang w:val="de-CH"/>
        </w:rPr>
      </w:pPr>
      <w:r>
        <w:rPr>
          <w:lang w:val="de-CH"/>
        </w:rPr>
        <w:t>Warum dachte Gabbard in jungen Jahren, dass der vorgestellte Patient an der Menninger-Klinik „trotzig“ war – und nicht zum Beispiel an eine traumatische Separation u.a.m.? (S.156)</w:t>
      </w:r>
    </w:p>
    <w:p w14:paraId="33CAFBB6" w14:textId="4D2E633A" w:rsidR="00C93EB2" w:rsidRDefault="00C93EB2" w:rsidP="00B577A1">
      <w:pPr>
        <w:pStyle w:val="Listenabsatz"/>
        <w:numPr>
          <w:ilvl w:val="0"/>
          <w:numId w:val="8"/>
        </w:numPr>
        <w:spacing w:after="120"/>
        <w:ind w:left="641" w:hanging="357"/>
        <w:contextualSpacing w:val="0"/>
        <w:rPr>
          <w:lang w:val="de-CH"/>
        </w:rPr>
      </w:pPr>
      <w:r>
        <w:rPr>
          <w:lang w:val="de-CH"/>
        </w:rPr>
        <w:t xml:space="preserve">Was bringt Gabbard dazu zu sagen, dass die Beharrlichkeit des Infantilen nirgends offensichtlicher sei als im Beendigungsprozess? Hat der Autor da recht? </w:t>
      </w:r>
    </w:p>
    <w:p w14:paraId="18108797" w14:textId="5B57A9ED" w:rsidR="00C93EB2" w:rsidRDefault="00C93EB2" w:rsidP="00B577A1">
      <w:pPr>
        <w:pStyle w:val="Listenabsatz"/>
        <w:numPr>
          <w:ilvl w:val="0"/>
          <w:numId w:val="8"/>
        </w:numPr>
        <w:spacing w:after="120"/>
        <w:ind w:left="641" w:hanging="357"/>
        <w:contextualSpacing w:val="0"/>
        <w:rPr>
          <w:lang w:val="de-CH"/>
        </w:rPr>
      </w:pPr>
      <w:r>
        <w:rPr>
          <w:lang w:val="de-CH"/>
        </w:rPr>
        <w:t>Stimmt es denn wirklich, dass sich in Freuds Schriften nichts finde zur Technik der Beendigung? (S.156)</w:t>
      </w:r>
    </w:p>
    <w:p w14:paraId="07A18AD4" w14:textId="644D3CAD" w:rsidR="00C93EB2" w:rsidRDefault="00C93EB2" w:rsidP="00B577A1">
      <w:pPr>
        <w:pStyle w:val="Listenabsatz"/>
        <w:numPr>
          <w:ilvl w:val="0"/>
          <w:numId w:val="8"/>
        </w:numPr>
        <w:spacing w:after="120"/>
        <w:ind w:left="641" w:hanging="357"/>
        <w:contextualSpacing w:val="0"/>
        <w:rPr>
          <w:lang w:val="de-CH"/>
        </w:rPr>
      </w:pPr>
      <w:r>
        <w:rPr>
          <w:lang w:val="de-CH"/>
        </w:rPr>
        <w:t>„Wir brauchen unsere Patienten, wie sie uns brauchen</w:t>
      </w:r>
      <w:r w:rsidR="008C7322">
        <w:rPr>
          <w:lang w:val="de-CH"/>
        </w:rPr>
        <w:t>.</w:t>
      </w:r>
      <w:r>
        <w:rPr>
          <w:lang w:val="de-CH"/>
        </w:rPr>
        <w:t>“ (S.157)</w:t>
      </w:r>
      <w:r w:rsidR="008C7322">
        <w:rPr>
          <w:lang w:val="de-CH"/>
        </w:rPr>
        <w:t xml:space="preserve"> Was denken Sie über diesen Satz? </w:t>
      </w:r>
    </w:p>
    <w:p w14:paraId="021D9503" w14:textId="102F7BAD" w:rsidR="008C7322" w:rsidRDefault="008C7322" w:rsidP="00B577A1">
      <w:pPr>
        <w:pStyle w:val="Listenabsatz"/>
        <w:numPr>
          <w:ilvl w:val="0"/>
          <w:numId w:val="8"/>
        </w:numPr>
        <w:spacing w:after="120"/>
        <w:ind w:left="641" w:hanging="357"/>
        <w:contextualSpacing w:val="0"/>
        <w:rPr>
          <w:lang w:val="de-CH"/>
        </w:rPr>
      </w:pPr>
      <w:r>
        <w:rPr>
          <w:lang w:val="de-CH"/>
        </w:rPr>
        <w:t>Was halten Sie vom technischen Ratschlag Melanie Kleins (S.157)?</w:t>
      </w:r>
    </w:p>
    <w:p w14:paraId="43EA579A" w14:textId="3AF3A368" w:rsidR="008C7322" w:rsidRDefault="008C7322" w:rsidP="00B577A1">
      <w:pPr>
        <w:pStyle w:val="Listenabsatz"/>
        <w:numPr>
          <w:ilvl w:val="0"/>
          <w:numId w:val="8"/>
        </w:numPr>
        <w:spacing w:after="120"/>
        <w:ind w:left="641" w:hanging="357"/>
        <w:contextualSpacing w:val="0"/>
        <w:rPr>
          <w:lang w:val="de-CH"/>
        </w:rPr>
      </w:pPr>
      <w:r>
        <w:rPr>
          <w:lang w:val="de-CH"/>
        </w:rPr>
        <w:t>Gabbard schreibt, dass es „zwischen der gängigen Meinung über das Behandlungsende und dem, was in Wirklichkeit im klinischen Setting stattfindet, wenig Übereinstimmung“ gebe. (S.157) Gilt das nur für die Literatur über das Behandlungs</w:t>
      </w:r>
      <w:r w:rsidRPr="008C7322">
        <w:rPr>
          <w:i/>
          <w:lang w:val="de-CH"/>
        </w:rPr>
        <w:t>ende</w:t>
      </w:r>
      <w:r>
        <w:rPr>
          <w:lang w:val="de-CH"/>
        </w:rPr>
        <w:t>? (Zum Verhältnis zwischen Fiktion und Realität in Falldarstellungen: vgl. CMdL, Jahrbuch der Psychoanalyse 2016: „Die psychoanalytische Falldarstellung. Ein Fragment“.)</w:t>
      </w:r>
    </w:p>
    <w:p w14:paraId="2FD093E4" w14:textId="26885A0D" w:rsidR="008C7322" w:rsidRDefault="008C7322" w:rsidP="00B577A1">
      <w:pPr>
        <w:pStyle w:val="Listenabsatz"/>
        <w:numPr>
          <w:ilvl w:val="0"/>
          <w:numId w:val="8"/>
        </w:numPr>
        <w:spacing w:after="120"/>
        <w:ind w:left="641" w:hanging="357"/>
        <w:contextualSpacing w:val="0"/>
        <w:rPr>
          <w:lang w:val="de-CH"/>
        </w:rPr>
      </w:pPr>
      <w:r>
        <w:rPr>
          <w:lang w:val="de-CH"/>
        </w:rPr>
        <w:t>Kennen Sie die von Gabbard berichteten Reaktionen (S.158) auf das angesprochene Behandlungsende?</w:t>
      </w:r>
    </w:p>
    <w:p w14:paraId="6FC653C3" w14:textId="2F06DD21" w:rsidR="008C7322" w:rsidRDefault="008C7322" w:rsidP="00B577A1">
      <w:pPr>
        <w:pStyle w:val="Listenabsatz"/>
        <w:numPr>
          <w:ilvl w:val="0"/>
          <w:numId w:val="8"/>
        </w:numPr>
        <w:spacing w:after="120"/>
        <w:ind w:left="641" w:hanging="357"/>
        <w:contextualSpacing w:val="0"/>
        <w:rPr>
          <w:lang w:val="de-CH"/>
        </w:rPr>
      </w:pPr>
      <w:r>
        <w:rPr>
          <w:lang w:val="de-CH"/>
        </w:rPr>
        <w:t xml:space="preserve">60 Prozent (51 von 82 Probanden) suchen nach dem Ende der Analyse weiterhin Hilfe bei ihrem Analytiker. Was denken Sie zu dieser Anzahl? Trifft sie mit Ihrer Erfahrung überein? </w:t>
      </w:r>
    </w:p>
    <w:p w14:paraId="57F36216" w14:textId="3D2CA676" w:rsidR="008C7322" w:rsidRDefault="008C7322" w:rsidP="00B577A1">
      <w:pPr>
        <w:pStyle w:val="Listenabsatz"/>
        <w:numPr>
          <w:ilvl w:val="0"/>
          <w:numId w:val="8"/>
        </w:numPr>
        <w:spacing w:after="120"/>
        <w:ind w:left="641" w:hanging="357"/>
        <w:contextualSpacing w:val="0"/>
        <w:rPr>
          <w:lang w:val="de-CH"/>
        </w:rPr>
      </w:pPr>
      <w:r>
        <w:rPr>
          <w:lang w:val="de-CH"/>
        </w:rPr>
        <w:t xml:space="preserve">Wie werten Sie die Gedanken A. Greens in „Le travail du négatif“, von Gabbard auf S.159 resümiert? </w:t>
      </w:r>
    </w:p>
    <w:p w14:paraId="2F03BB13" w14:textId="5FC99209" w:rsidR="008C7322" w:rsidRDefault="008C7322" w:rsidP="00B577A1">
      <w:pPr>
        <w:pStyle w:val="Listenabsatz"/>
        <w:numPr>
          <w:ilvl w:val="0"/>
          <w:numId w:val="8"/>
        </w:numPr>
        <w:spacing w:after="120"/>
        <w:ind w:left="641" w:hanging="357"/>
        <w:contextualSpacing w:val="0"/>
        <w:rPr>
          <w:lang w:val="de-CH"/>
        </w:rPr>
      </w:pPr>
      <w:r>
        <w:rPr>
          <w:lang w:val="de-CH"/>
        </w:rPr>
        <w:t xml:space="preserve">Was passiert, wenn AnalytikerIn und PatientIn sich ineinander verlieben? Kommt das häufig vor? (S.159) Was könnte so eine Verliebtheit möglicherweise abwehren? Gibt es einen Bezug zur „transference addiction“ von Bollas (vgl. Kolloquium vom </w:t>
      </w:r>
      <w:r w:rsidR="002710AD">
        <w:rPr>
          <w:lang w:val="de-CH"/>
        </w:rPr>
        <w:t>10.01.2019)</w:t>
      </w:r>
      <w:r w:rsidR="003A0019">
        <w:rPr>
          <w:lang w:val="de-CH"/>
        </w:rPr>
        <w:t>?</w:t>
      </w:r>
    </w:p>
    <w:p w14:paraId="0F2CCD11" w14:textId="1218888B" w:rsidR="008C7322" w:rsidRDefault="003A0019" w:rsidP="00B577A1">
      <w:pPr>
        <w:pStyle w:val="Listenabsatz"/>
        <w:numPr>
          <w:ilvl w:val="0"/>
          <w:numId w:val="8"/>
        </w:numPr>
        <w:spacing w:after="120"/>
        <w:ind w:left="641" w:hanging="357"/>
        <w:contextualSpacing w:val="0"/>
        <w:rPr>
          <w:lang w:val="de-CH"/>
        </w:rPr>
      </w:pPr>
      <w:r>
        <w:rPr>
          <w:lang w:val="de-CH"/>
        </w:rPr>
        <w:t xml:space="preserve">Können endlos lange Behandlungen (S.158/9) Personen in Analyse evtl. auch beschädigen? Wo würden Sie über mögliche Folgeschäden von Psychotherapie (auch von Analysen) recherchieren? Welche Langzeitschäden bei Endlosbehandlungen sind fast zu erwarten? </w:t>
      </w:r>
    </w:p>
    <w:p w14:paraId="52F43CF6" w14:textId="2A92DB00" w:rsidR="003A0019" w:rsidRDefault="003A0019" w:rsidP="00B577A1">
      <w:pPr>
        <w:pStyle w:val="Listenabsatz"/>
        <w:numPr>
          <w:ilvl w:val="0"/>
          <w:numId w:val="8"/>
        </w:numPr>
        <w:spacing w:after="120"/>
        <w:ind w:left="641" w:hanging="357"/>
        <w:contextualSpacing w:val="0"/>
        <w:rPr>
          <w:lang w:val="de-CH"/>
        </w:rPr>
      </w:pPr>
      <w:r>
        <w:rPr>
          <w:lang w:val="de-CH"/>
        </w:rPr>
        <w:lastRenderedPageBreak/>
        <w:t>Wenn es im Einzelfall stimmen mag, dass die analytische Beziehung „die beste Liebesbeziehung“ sei (S.159)</w:t>
      </w:r>
      <w:r w:rsidR="004A1832">
        <w:rPr>
          <w:lang w:val="de-CH"/>
        </w:rPr>
        <w:t>,</w:t>
      </w:r>
      <w:r>
        <w:rPr>
          <w:lang w:val="de-CH"/>
        </w:rPr>
        <w:t xml:space="preserve"> die die Patientin je hatte, muss die Analytikerin sich vor „mother bashing“ (father bashing) mit Hilfe von Konstruktionen hüten. Einerseits wegen der „arrogance“ (vgl. Civitarese/Bion), aber auch weil es sich um einen schädlichen  Behandlungsfehler handelt. Wie lautet die Begründung dafür? </w:t>
      </w:r>
    </w:p>
    <w:p w14:paraId="0BF429EA" w14:textId="74ADA1CE" w:rsidR="00CB6757" w:rsidRDefault="00CB6757" w:rsidP="00B577A1">
      <w:pPr>
        <w:pStyle w:val="Listenabsatz"/>
        <w:numPr>
          <w:ilvl w:val="0"/>
          <w:numId w:val="8"/>
        </w:numPr>
        <w:spacing w:after="120"/>
        <w:ind w:left="641" w:hanging="357"/>
        <w:contextualSpacing w:val="0"/>
        <w:rPr>
          <w:lang w:val="de-CH"/>
        </w:rPr>
      </w:pPr>
      <w:r>
        <w:rPr>
          <w:lang w:val="de-CH"/>
        </w:rPr>
        <w:t xml:space="preserve">Welche infantile Wünsche tauchen „machtvoll“ in der Beendigungsphase einer Analyse oder einer Psychotherapie auf (S.160)? </w:t>
      </w:r>
    </w:p>
    <w:p w14:paraId="69AB88D7" w14:textId="3D2CBD29" w:rsidR="00CB6757" w:rsidRDefault="00CB6757" w:rsidP="00B577A1">
      <w:pPr>
        <w:pStyle w:val="Listenabsatz"/>
        <w:numPr>
          <w:ilvl w:val="0"/>
          <w:numId w:val="8"/>
        </w:numPr>
        <w:spacing w:after="120"/>
        <w:ind w:left="641" w:hanging="357"/>
        <w:contextualSpacing w:val="0"/>
        <w:rPr>
          <w:lang w:val="de-CH"/>
        </w:rPr>
      </w:pPr>
      <w:r>
        <w:rPr>
          <w:lang w:val="de-CH"/>
        </w:rPr>
        <w:t>Viele Analysanden tragen die Phantasie in sich, dass die analytische Dyade die Enttäuschung mit den eigenen Eltern  kompensieren wird (S.160). Was, wenn die Analytikerin diese Sichtweise unbewusst oder auch häufig bewusst bestärkt? (Vgl. auch Frage 14)</w:t>
      </w:r>
    </w:p>
    <w:p w14:paraId="0AF391CB" w14:textId="50DD0F1D" w:rsidR="00CB6757" w:rsidRDefault="00CB6757" w:rsidP="00B577A1">
      <w:pPr>
        <w:pStyle w:val="Listenabsatz"/>
        <w:numPr>
          <w:ilvl w:val="0"/>
          <w:numId w:val="8"/>
        </w:numPr>
        <w:spacing w:after="120"/>
        <w:ind w:left="641" w:hanging="357"/>
        <w:contextualSpacing w:val="0"/>
        <w:rPr>
          <w:lang w:val="de-CH"/>
        </w:rPr>
      </w:pPr>
      <w:r>
        <w:rPr>
          <w:lang w:val="de-CH"/>
        </w:rPr>
        <w:t>Hatte der überrumpelte Autor in seinem Erlebnisbericht (S.161) – „Sterben Sie mir nicht, okay?“ – „Okay.“ – alternative, kreativere technische Optionen gehabt?</w:t>
      </w:r>
    </w:p>
    <w:p w14:paraId="06AB062E" w14:textId="480D38AF" w:rsidR="00CB6757" w:rsidRDefault="00CB6757" w:rsidP="00B577A1">
      <w:pPr>
        <w:pStyle w:val="Listenabsatz"/>
        <w:numPr>
          <w:ilvl w:val="0"/>
          <w:numId w:val="8"/>
        </w:numPr>
        <w:spacing w:after="120"/>
        <w:ind w:left="641" w:hanging="357"/>
        <w:contextualSpacing w:val="0"/>
        <w:rPr>
          <w:lang w:val="de-CH"/>
        </w:rPr>
      </w:pPr>
      <w:r>
        <w:rPr>
          <w:lang w:val="de-CH"/>
        </w:rPr>
        <w:t>Verhalt</w:t>
      </w:r>
      <w:r w:rsidR="00995AFF">
        <w:rPr>
          <w:lang w:val="de-CH"/>
        </w:rPr>
        <w:t>en sich denn alle Analytikerinne</w:t>
      </w:r>
      <w:r>
        <w:rPr>
          <w:lang w:val="de-CH"/>
        </w:rPr>
        <w:t>n in der Analyse so, als ob die Dinge in der Analyse immer endlos weiter gehen würden) [Gabbard schreibt ja „wir“] (S.161)</w:t>
      </w:r>
    </w:p>
    <w:p w14:paraId="5AE65AF8" w14:textId="7FB49121" w:rsidR="00CB6757" w:rsidRDefault="00CB6757" w:rsidP="00B577A1">
      <w:pPr>
        <w:pStyle w:val="Listenabsatz"/>
        <w:numPr>
          <w:ilvl w:val="0"/>
          <w:numId w:val="8"/>
        </w:numPr>
        <w:spacing w:after="120"/>
        <w:ind w:left="641" w:hanging="357"/>
        <w:contextualSpacing w:val="0"/>
        <w:rPr>
          <w:lang w:val="de-CH"/>
        </w:rPr>
      </w:pPr>
      <w:r>
        <w:rPr>
          <w:lang w:val="de-CH"/>
        </w:rPr>
        <w:t xml:space="preserve">Trauerabwehr durch bewussten Ärger (S.162): typisch für die Beendigungsphase? </w:t>
      </w:r>
    </w:p>
    <w:p w14:paraId="4D309500" w14:textId="144880A0" w:rsidR="00CB6757" w:rsidRDefault="00CB6757" w:rsidP="00B577A1">
      <w:pPr>
        <w:pStyle w:val="Listenabsatz"/>
        <w:numPr>
          <w:ilvl w:val="0"/>
          <w:numId w:val="8"/>
        </w:numPr>
        <w:spacing w:after="120"/>
        <w:ind w:left="641" w:hanging="357"/>
        <w:contextualSpacing w:val="0"/>
        <w:rPr>
          <w:lang w:val="de-CH"/>
        </w:rPr>
      </w:pPr>
      <w:r>
        <w:rPr>
          <w:lang w:val="de-CH"/>
        </w:rPr>
        <w:t xml:space="preserve">Können Ihrer </w:t>
      </w:r>
      <w:r w:rsidR="00754284">
        <w:rPr>
          <w:lang w:val="de-CH"/>
        </w:rPr>
        <w:t>Erfahrung</w:t>
      </w:r>
      <w:bookmarkStart w:id="0" w:name="_GoBack"/>
      <w:bookmarkEnd w:id="0"/>
      <w:r>
        <w:rPr>
          <w:lang w:val="de-CH"/>
        </w:rPr>
        <w:t xml:space="preserve"> nach Analytikerinnen Patientinnen trösten? („Wenn sie nur wahr wäre!“) (S.163)</w:t>
      </w:r>
    </w:p>
    <w:p w14:paraId="20B7A133" w14:textId="77777777" w:rsidR="003A0019" w:rsidRDefault="003A0019" w:rsidP="003A0019">
      <w:pPr>
        <w:pStyle w:val="Listenabsatz"/>
        <w:spacing w:after="120"/>
        <w:ind w:left="641"/>
        <w:contextualSpacing w:val="0"/>
        <w:rPr>
          <w:lang w:val="de-CH"/>
        </w:rPr>
      </w:pPr>
    </w:p>
    <w:p w14:paraId="16B552BE" w14:textId="77777777" w:rsidR="00AA3384" w:rsidRDefault="00AA3384" w:rsidP="001B3392">
      <w:pPr>
        <w:rPr>
          <w:lang w:val="de-CH"/>
        </w:rPr>
      </w:pPr>
    </w:p>
    <w:p w14:paraId="08FFFB59" w14:textId="1DA88251" w:rsidR="00193085" w:rsidRPr="001B3392" w:rsidRDefault="001B3392" w:rsidP="001B3392">
      <w:pPr>
        <w:rPr>
          <w:lang w:val="de-CH"/>
        </w:rPr>
      </w:pPr>
      <w:r w:rsidRPr="00B422F7">
        <w:rPr>
          <w:lang w:val="de-CH"/>
        </w:rPr>
        <w:t xml:space="preserve">CMdL, </w:t>
      </w:r>
      <w:r w:rsidR="00464E33">
        <w:rPr>
          <w:lang w:val="de-CH"/>
        </w:rPr>
        <w:t>27.9</w:t>
      </w:r>
      <w:r w:rsidR="001D134E">
        <w:rPr>
          <w:lang w:val="de-CH"/>
        </w:rPr>
        <w:t>.</w:t>
      </w:r>
      <w:r>
        <w:rPr>
          <w:lang w:val="de-CH"/>
        </w:rPr>
        <w:t>2021</w:t>
      </w:r>
      <w:r w:rsidR="00121689" w:rsidRPr="001B3392">
        <w:rPr>
          <w:lang w:val="de-CH"/>
        </w:rPr>
        <w:br/>
      </w:r>
    </w:p>
    <w:sectPr w:rsidR="00193085" w:rsidRPr="001B3392"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8E31A" w14:textId="77777777" w:rsidR="000A7339" w:rsidRDefault="000A7339" w:rsidP="001C17E0">
      <w:r>
        <w:separator/>
      </w:r>
    </w:p>
  </w:endnote>
  <w:endnote w:type="continuationSeparator" w:id="0">
    <w:p w14:paraId="0DDE13B5" w14:textId="77777777" w:rsidR="000A7339" w:rsidRDefault="000A7339"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54284">
      <w:rPr>
        <w:rStyle w:val="Seitenzahl"/>
      </w:rPr>
      <w:t>2</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3876E" w14:textId="77777777" w:rsidR="000A7339" w:rsidRDefault="000A7339" w:rsidP="001C17E0">
      <w:r>
        <w:separator/>
      </w:r>
    </w:p>
  </w:footnote>
  <w:footnote w:type="continuationSeparator" w:id="0">
    <w:p w14:paraId="51BC016C" w14:textId="77777777" w:rsidR="000A7339" w:rsidRDefault="000A7339"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05FC5"/>
    <w:rsid w:val="00036D72"/>
    <w:rsid w:val="00045CA8"/>
    <w:rsid w:val="00050865"/>
    <w:rsid w:val="00053E9F"/>
    <w:rsid w:val="0006011A"/>
    <w:rsid w:val="00072B00"/>
    <w:rsid w:val="000774A6"/>
    <w:rsid w:val="00097BCE"/>
    <w:rsid w:val="000A2932"/>
    <w:rsid w:val="000A7339"/>
    <w:rsid w:val="000A7D53"/>
    <w:rsid w:val="000B4E93"/>
    <w:rsid w:val="000C6C03"/>
    <w:rsid w:val="000C7B11"/>
    <w:rsid w:val="000E4F13"/>
    <w:rsid w:val="000E5E05"/>
    <w:rsid w:val="000F580C"/>
    <w:rsid w:val="0010790F"/>
    <w:rsid w:val="00107C05"/>
    <w:rsid w:val="00112F0C"/>
    <w:rsid w:val="00121689"/>
    <w:rsid w:val="00136829"/>
    <w:rsid w:val="001445C6"/>
    <w:rsid w:val="00145232"/>
    <w:rsid w:val="00147251"/>
    <w:rsid w:val="00152FBB"/>
    <w:rsid w:val="0015406F"/>
    <w:rsid w:val="00161373"/>
    <w:rsid w:val="001645A6"/>
    <w:rsid w:val="001819FC"/>
    <w:rsid w:val="00181BA5"/>
    <w:rsid w:val="00186BD4"/>
    <w:rsid w:val="001924E0"/>
    <w:rsid w:val="00193085"/>
    <w:rsid w:val="001A6B5D"/>
    <w:rsid w:val="001B3392"/>
    <w:rsid w:val="001B4B07"/>
    <w:rsid w:val="001C17E0"/>
    <w:rsid w:val="001C2358"/>
    <w:rsid w:val="001C7914"/>
    <w:rsid w:val="001D01F8"/>
    <w:rsid w:val="001D134E"/>
    <w:rsid w:val="001D65B9"/>
    <w:rsid w:val="00203B8F"/>
    <w:rsid w:val="00213399"/>
    <w:rsid w:val="0021734A"/>
    <w:rsid w:val="0022140A"/>
    <w:rsid w:val="00226685"/>
    <w:rsid w:val="00231FB8"/>
    <w:rsid w:val="00236B16"/>
    <w:rsid w:val="00237076"/>
    <w:rsid w:val="002454EC"/>
    <w:rsid w:val="00252334"/>
    <w:rsid w:val="002525C5"/>
    <w:rsid w:val="00254CF5"/>
    <w:rsid w:val="0026063B"/>
    <w:rsid w:val="00266B82"/>
    <w:rsid w:val="002710AD"/>
    <w:rsid w:val="00274E4A"/>
    <w:rsid w:val="00282D41"/>
    <w:rsid w:val="00295995"/>
    <w:rsid w:val="00296E4F"/>
    <w:rsid w:val="00297599"/>
    <w:rsid w:val="002A2676"/>
    <w:rsid w:val="002A39DF"/>
    <w:rsid w:val="002B56A6"/>
    <w:rsid w:val="002C1928"/>
    <w:rsid w:val="002C4884"/>
    <w:rsid w:val="002E65BE"/>
    <w:rsid w:val="002F24F8"/>
    <w:rsid w:val="00300911"/>
    <w:rsid w:val="00303096"/>
    <w:rsid w:val="00321F10"/>
    <w:rsid w:val="00323B25"/>
    <w:rsid w:val="00334D03"/>
    <w:rsid w:val="00336857"/>
    <w:rsid w:val="00341DAE"/>
    <w:rsid w:val="0034684B"/>
    <w:rsid w:val="00350858"/>
    <w:rsid w:val="00356BD4"/>
    <w:rsid w:val="00366CF8"/>
    <w:rsid w:val="0037144C"/>
    <w:rsid w:val="00384E19"/>
    <w:rsid w:val="00386E18"/>
    <w:rsid w:val="00393130"/>
    <w:rsid w:val="003942C2"/>
    <w:rsid w:val="003A0019"/>
    <w:rsid w:val="003A01A1"/>
    <w:rsid w:val="003B519C"/>
    <w:rsid w:val="003B727C"/>
    <w:rsid w:val="003C3775"/>
    <w:rsid w:val="003D221B"/>
    <w:rsid w:val="003D3D11"/>
    <w:rsid w:val="003D4CD2"/>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64E33"/>
    <w:rsid w:val="00467F71"/>
    <w:rsid w:val="00473592"/>
    <w:rsid w:val="00480081"/>
    <w:rsid w:val="004814EF"/>
    <w:rsid w:val="00483BD6"/>
    <w:rsid w:val="00485156"/>
    <w:rsid w:val="00486138"/>
    <w:rsid w:val="00486DE4"/>
    <w:rsid w:val="00490BBC"/>
    <w:rsid w:val="00492DB8"/>
    <w:rsid w:val="004932F5"/>
    <w:rsid w:val="004A1832"/>
    <w:rsid w:val="004A2151"/>
    <w:rsid w:val="004B265E"/>
    <w:rsid w:val="004B5872"/>
    <w:rsid w:val="004C1BED"/>
    <w:rsid w:val="004D59DE"/>
    <w:rsid w:val="004F7F9A"/>
    <w:rsid w:val="00504EF9"/>
    <w:rsid w:val="0050532A"/>
    <w:rsid w:val="005060B7"/>
    <w:rsid w:val="005145A4"/>
    <w:rsid w:val="005201AE"/>
    <w:rsid w:val="005205E4"/>
    <w:rsid w:val="00520BBB"/>
    <w:rsid w:val="00523771"/>
    <w:rsid w:val="005262A7"/>
    <w:rsid w:val="005366C7"/>
    <w:rsid w:val="00540BAD"/>
    <w:rsid w:val="00547BB5"/>
    <w:rsid w:val="0055188A"/>
    <w:rsid w:val="00553ACB"/>
    <w:rsid w:val="0055528F"/>
    <w:rsid w:val="00562227"/>
    <w:rsid w:val="0056656D"/>
    <w:rsid w:val="00566ED9"/>
    <w:rsid w:val="0057164D"/>
    <w:rsid w:val="00574B98"/>
    <w:rsid w:val="00577B06"/>
    <w:rsid w:val="00591D2C"/>
    <w:rsid w:val="005942D6"/>
    <w:rsid w:val="005A02ED"/>
    <w:rsid w:val="005A7417"/>
    <w:rsid w:val="005B32E1"/>
    <w:rsid w:val="005C221E"/>
    <w:rsid w:val="005D104B"/>
    <w:rsid w:val="005E1F02"/>
    <w:rsid w:val="005E292C"/>
    <w:rsid w:val="005E74AD"/>
    <w:rsid w:val="005F0613"/>
    <w:rsid w:val="006001BF"/>
    <w:rsid w:val="00600DF1"/>
    <w:rsid w:val="00601EA4"/>
    <w:rsid w:val="00603C45"/>
    <w:rsid w:val="00603CAE"/>
    <w:rsid w:val="00615B12"/>
    <w:rsid w:val="00615D90"/>
    <w:rsid w:val="00617F35"/>
    <w:rsid w:val="0062072D"/>
    <w:rsid w:val="006211DE"/>
    <w:rsid w:val="00623F18"/>
    <w:rsid w:val="00631602"/>
    <w:rsid w:val="00641EF6"/>
    <w:rsid w:val="00644D92"/>
    <w:rsid w:val="00653176"/>
    <w:rsid w:val="00656661"/>
    <w:rsid w:val="00662CFF"/>
    <w:rsid w:val="006658F1"/>
    <w:rsid w:val="00681F0D"/>
    <w:rsid w:val="00682481"/>
    <w:rsid w:val="00682FD8"/>
    <w:rsid w:val="00685F98"/>
    <w:rsid w:val="006B12C7"/>
    <w:rsid w:val="006B6795"/>
    <w:rsid w:val="006D2710"/>
    <w:rsid w:val="006D3CE5"/>
    <w:rsid w:val="006D430F"/>
    <w:rsid w:val="006E1AD9"/>
    <w:rsid w:val="006E4DAF"/>
    <w:rsid w:val="006F3BF7"/>
    <w:rsid w:val="006F64D4"/>
    <w:rsid w:val="00711AAA"/>
    <w:rsid w:val="0072098D"/>
    <w:rsid w:val="00722131"/>
    <w:rsid w:val="00722BA3"/>
    <w:rsid w:val="0072474D"/>
    <w:rsid w:val="00727B19"/>
    <w:rsid w:val="007304A4"/>
    <w:rsid w:val="00733EA0"/>
    <w:rsid w:val="00736D06"/>
    <w:rsid w:val="007443D5"/>
    <w:rsid w:val="007463A6"/>
    <w:rsid w:val="00754284"/>
    <w:rsid w:val="00765EB4"/>
    <w:rsid w:val="0077040D"/>
    <w:rsid w:val="00772D14"/>
    <w:rsid w:val="00773856"/>
    <w:rsid w:val="00774DDE"/>
    <w:rsid w:val="007813A9"/>
    <w:rsid w:val="0079791D"/>
    <w:rsid w:val="007A0B0C"/>
    <w:rsid w:val="007B25D5"/>
    <w:rsid w:val="007B4116"/>
    <w:rsid w:val="007C2373"/>
    <w:rsid w:val="007D5328"/>
    <w:rsid w:val="007E52C6"/>
    <w:rsid w:val="007E671E"/>
    <w:rsid w:val="007F7F88"/>
    <w:rsid w:val="0080008C"/>
    <w:rsid w:val="00804DA0"/>
    <w:rsid w:val="00814C4D"/>
    <w:rsid w:val="00825087"/>
    <w:rsid w:val="00833CD4"/>
    <w:rsid w:val="00834900"/>
    <w:rsid w:val="008404FC"/>
    <w:rsid w:val="00843B12"/>
    <w:rsid w:val="008508C5"/>
    <w:rsid w:val="00853031"/>
    <w:rsid w:val="008573CE"/>
    <w:rsid w:val="00867358"/>
    <w:rsid w:val="00870278"/>
    <w:rsid w:val="0087775D"/>
    <w:rsid w:val="0089224F"/>
    <w:rsid w:val="008925DB"/>
    <w:rsid w:val="00897C45"/>
    <w:rsid w:val="008A30E0"/>
    <w:rsid w:val="008B3F08"/>
    <w:rsid w:val="008B40F5"/>
    <w:rsid w:val="008B67B1"/>
    <w:rsid w:val="008C3DDE"/>
    <w:rsid w:val="008C7322"/>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95AFF"/>
    <w:rsid w:val="009A5DCC"/>
    <w:rsid w:val="009B451F"/>
    <w:rsid w:val="009C014D"/>
    <w:rsid w:val="009C650F"/>
    <w:rsid w:val="009D3BCF"/>
    <w:rsid w:val="009F2AA2"/>
    <w:rsid w:val="009F7394"/>
    <w:rsid w:val="00A015C7"/>
    <w:rsid w:val="00A14430"/>
    <w:rsid w:val="00A16BA0"/>
    <w:rsid w:val="00A242FA"/>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384"/>
    <w:rsid w:val="00AA35D2"/>
    <w:rsid w:val="00AB2874"/>
    <w:rsid w:val="00AB5334"/>
    <w:rsid w:val="00AB6405"/>
    <w:rsid w:val="00AB69A6"/>
    <w:rsid w:val="00AC689E"/>
    <w:rsid w:val="00AD2006"/>
    <w:rsid w:val="00AE5C50"/>
    <w:rsid w:val="00AF3EC8"/>
    <w:rsid w:val="00AF5738"/>
    <w:rsid w:val="00AF718B"/>
    <w:rsid w:val="00B031E1"/>
    <w:rsid w:val="00B044C8"/>
    <w:rsid w:val="00B05A2C"/>
    <w:rsid w:val="00B0654A"/>
    <w:rsid w:val="00B123C2"/>
    <w:rsid w:val="00B31F65"/>
    <w:rsid w:val="00B422F7"/>
    <w:rsid w:val="00B45633"/>
    <w:rsid w:val="00B577A1"/>
    <w:rsid w:val="00B623F8"/>
    <w:rsid w:val="00B76E5E"/>
    <w:rsid w:val="00B8162B"/>
    <w:rsid w:val="00B9766C"/>
    <w:rsid w:val="00BC1860"/>
    <w:rsid w:val="00BC4EA1"/>
    <w:rsid w:val="00BC7095"/>
    <w:rsid w:val="00BC7433"/>
    <w:rsid w:val="00BD1DA5"/>
    <w:rsid w:val="00BD7578"/>
    <w:rsid w:val="00BE63EF"/>
    <w:rsid w:val="00BE6D65"/>
    <w:rsid w:val="00C12CEF"/>
    <w:rsid w:val="00C1553C"/>
    <w:rsid w:val="00C204AE"/>
    <w:rsid w:val="00C210A5"/>
    <w:rsid w:val="00C30C97"/>
    <w:rsid w:val="00C34907"/>
    <w:rsid w:val="00C439CC"/>
    <w:rsid w:val="00C5666D"/>
    <w:rsid w:val="00C619DE"/>
    <w:rsid w:val="00C62CBD"/>
    <w:rsid w:val="00C63673"/>
    <w:rsid w:val="00C65B64"/>
    <w:rsid w:val="00C660CC"/>
    <w:rsid w:val="00C734B4"/>
    <w:rsid w:val="00C7544A"/>
    <w:rsid w:val="00C826CC"/>
    <w:rsid w:val="00C84734"/>
    <w:rsid w:val="00C91527"/>
    <w:rsid w:val="00C93EB2"/>
    <w:rsid w:val="00C97299"/>
    <w:rsid w:val="00CA060B"/>
    <w:rsid w:val="00CA1A91"/>
    <w:rsid w:val="00CB1657"/>
    <w:rsid w:val="00CB17BC"/>
    <w:rsid w:val="00CB518A"/>
    <w:rsid w:val="00CB6757"/>
    <w:rsid w:val="00CE1E88"/>
    <w:rsid w:val="00CE3D9C"/>
    <w:rsid w:val="00CE5B51"/>
    <w:rsid w:val="00CF41B0"/>
    <w:rsid w:val="00D07843"/>
    <w:rsid w:val="00D10C20"/>
    <w:rsid w:val="00D25193"/>
    <w:rsid w:val="00D25821"/>
    <w:rsid w:val="00D364FF"/>
    <w:rsid w:val="00D434CF"/>
    <w:rsid w:val="00D54400"/>
    <w:rsid w:val="00D54A77"/>
    <w:rsid w:val="00D61F5F"/>
    <w:rsid w:val="00D6584D"/>
    <w:rsid w:val="00D77B85"/>
    <w:rsid w:val="00D84D5B"/>
    <w:rsid w:val="00D93198"/>
    <w:rsid w:val="00D93A8C"/>
    <w:rsid w:val="00DA4538"/>
    <w:rsid w:val="00DB0075"/>
    <w:rsid w:val="00DD0F4E"/>
    <w:rsid w:val="00DD1A77"/>
    <w:rsid w:val="00DD3B74"/>
    <w:rsid w:val="00DE65DA"/>
    <w:rsid w:val="00DE7A41"/>
    <w:rsid w:val="00E1079A"/>
    <w:rsid w:val="00E22820"/>
    <w:rsid w:val="00E2295B"/>
    <w:rsid w:val="00E313C1"/>
    <w:rsid w:val="00E336C3"/>
    <w:rsid w:val="00E34CB9"/>
    <w:rsid w:val="00E36043"/>
    <w:rsid w:val="00E37C7B"/>
    <w:rsid w:val="00E551E8"/>
    <w:rsid w:val="00E64DD2"/>
    <w:rsid w:val="00E65D01"/>
    <w:rsid w:val="00E72C79"/>
    <w:rsid w:val="00E74A4E"/>
    <w:rsid w:val="00E86DA8"/>
    <w:rsid w:val="00E9121E"/>
    <w:rsid w:val="00E91671"/>
    <w:rsid w:val="00EA307D"/>
    <w:rsid w:val="00EA5A9C"/>
    <w:rsid w:val="00EC52AD"/>
    <w:rsid w:val="00ED2EAD"/>
    <w:rsid w:val="00EE0BD3"/>
    <w:rsid w:val="00EE1237"/>
    <w:rsid w:val="00EF4188"/>
    <w:rsid w:val="00EF6F3B"/>
    <w:rsid w:val="00F04171"/>
    <w:rsid w:val="00F12356"/>
    <w:rsid w:val="00F227F0"/>
    <w:rsid w:val="00F267DC"/>
    <w:rsid w:val="00F277A1"/>
    <w:rsid w:val="00F46468"/>
    <w:rsid w:val="00F47ED0"/>
    <w:rsid w:val="00F66FEE"/>
    <w:rsid w:val="00F83243"/>
    <w:rsid w:val="00F91E1F"/>
    <w:rsid w:val="00F95BF6"/>
    <w:rsid w:val="00F96D2F"/>
    <w:rsid w:val="00F97B3E"/>
    <w:rsid w:val="00FA3A79"/>
    <w:rsid w:val="00FA54D9"/>
    <w:rsid w:val="00FC0E19"/>
    <w:rsid w:val="00FC16BB"/>
    <w:rsid w:val="00FC4CCF"/>
    <w:rsid w:val="00FC6046"/>
    <w:rsid w:val="00FC7FED"/>
    <w:rsid w:val="00FE2A93"/>
    <w:rsid w:val="00FF2752"/>
    <w:rsid w:val="00FF3F4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3535</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4088</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7</cp:revision>
  <cp:lastPrinted>2021-03-18T10:22:00Z</cp:lastPrinted>
  <dcterms:created xsi:type="dcterms:W3CDTF">2021-09-27T15:13:00Z</dcterms:created>
  <dcterms:modified xsi:type="dcterms:W3CDTF">2021-09-29T14:41:00Z</dcterms:modified>
</cp:coreProperties>
</file>